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 w:before="60"/>
        <w:jc w:val="center"/>
      </w:pPr>
      <w:r>
        <w:rPr>
          <w:rFonts w:ascii="Calibri" w:cs="Calibri" w:eastAsia="Calibri" w:hAnsi="Calibri"/>
          <w:b/>
          <w:bCs/>
          <w:color w:val="9C7620"/>
          <w:sz w:val="17"/>
          <w:szCs w:val="17"/>
        </w:rPr>
        <w:t xml:space="preserve">IQAC · BAIKUNTHA COLLEGE OF EDUCATION</w:t>
      </w:r>
    </w:p>
    <w:p>
      <w:pPr>
        <w:spacing w:after="10" w:before="40"/>
        <w:jc w:val="center"/>
      </w:pPr>
      <w:r>
        <w:rPr>
          <w:rFonts w:ascii="Cambria" w:cs="Cambria" w:eastAsia="Cambria" w:hAnsi="Cambria"/>
          <w:b/>
          <w:bCs/>
          <w:color w:val="0D1B3E"/>
          <w:sz w:val="22"/>
          <w:szCs w:val="22"/>
        </w:rPr>
        <w:t xml:space="preserve">RESOURCE PERSON SPEECH SCRIPT</w:t>
      </w:r>
    </w:p>
    <w:p>
      <w:pPr>
        <w:spacing w:after="6" w:before="60"/>
        <w:jc w:val="center"/>
      </w:pPr>
      <w:r>
        <w:rPr>
          <w:rFonts w:ascii="Cambria" w:cs="Cambria" w:eastAsia="Cambria" w:hAnsi="Cambria"/>
          <w:b/>
          <w:bCs/>
          <w:color w:val="9C7620"/>
          <w:sz w:val="32"/>
          <w:szCs w:val="32"/>
        </w:rPr>
        <w:t xml:space="preserve">Prof. (Dr.) Subash Chandra Das</w:t>
      </w:r>
    </w:p>
    <w:p>
      <w:pPr>
        <w:spacing w:after="6"/>
        <w:jc w:val="center"/>
      </w:pPr>
      <w:r>
        <w:rPr>
          <w:rFonts w:ascii="Calibri" w:cs="Calibri" w:eastAsia="Calibri" w:hAnsi="Calibri"/>
          <w:color w:val="222222"/>
          <w:sz w:val="19"/>
          <w:szCs w:val="19"/>
        </w:rPr>
        <w:t xml:space="preserve">Principal, Falakata College</w:t>
      </w:r>
    </w:p>
    <w:p>
      <w:pPr>
        <w:spacing w:after="160"/>
        <w:jc w:val="center"/>
      </w:pPr>
      <w:r>
        <w:rPr>
          <w:rFonts w:ascii="Calibri" w:cs="Calibri" w:eastAsia="Calibri" w:hAnsi="Calibri"/>
          <w:color w:val="555555"/>
          <w:sz w:val="15"/>
          <w:szCs w:val="15"/>
        </w:rPr>
        <w:t xml:space="preserve">International Seminar 2026 · 28 August 2026 · Multipurpose Hall, Baikuntha College of Education · Hybrid Mode</w:t>
      </w:r>
    </w:p>
    <w:tbl>
      <w:tblPr>
        <w:tblW w:type="dxa" w:w="9800"/>
        <w:tblBorders>
          <w:top w:val="single" w:color="C8972A" w:sz="8"/>
          <w:left w:val="single" w:color="C8972A" w:sz="8"/>
          <w:bottom w:val="single" w:color="C8972A" w:sz="8"/>
          <w:right w:val="single" w:color="C8972A" w:sz="8"/>
          <w:insideH w:val="single" w:color="E4D9BE" w:sz="2"/>
          <w:insideV w:val="single" w:color="E4D9BE" w:sz="2"/>
        </w:tblBorders>
      </w:tblPr>
      <w:tblGrid>
        <w:gridCol w:w="2700"/>
        <w:gridCol w:w="7100"/>
      </w:tblGrid>
      <w:tr>
        <w:tc>
          <w:tcPr>
            <w:tcW w:type="dxa" w:w="2700"/>
            <w:shd w:fill="FFFFFF"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Session</w:t>
            </w:r>
          </w:p>
        </w:tc>
        <w:tc>
          <w:tcPr>
            <w:tcW w:type="dxa" w:w="7100"/>
            <w:shd w:fill="FFFFFF"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Invited Address VI</w:t>
            </w:r>
          </w:p>
        </w:tc>
      </w:tr>
      <w:tr>
        <w:tc>
          <w:tcPr>
            <w:tcW w:type="dxa" w:w="2700"/>
            <w:shd w:fill="F7F1E3"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Scheduled Slot</w:t>
            </w:r>
          </w:p>
        </w:tc>
        <w:tc>
          <w:tcPr>
            <w:tcW w:type="dxa" w:w="7100"/>
            <w:shd w:fill="F7F1E3"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1:20 – 1:35 PM</w:t>
            </w:r>
          </w:p>
        </w:tc>
      </w:tr>
      <w:tr>
        <w:tc>
          <w:tcPr>
            <w:tcW w:type="dxa" w:w="2700"/>
            <w:shd w:fill="FFFFFF"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Allotted Duration</w:t>
            </w:r>
          </w:p>
        </w:tc>
        <w:tc>
          <w:tcPr>
            <w:tcW w:type="dxa" w:w="7100"/>
            <w:shd w:fill="FFFFFF"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15 minutes</w:t>
            </w:r>
          </w:p>
        </w:tc>
      </w:tr>
      <w:tr>
        <w:tc>
          <w:tcPr>
            <w:tcW w:type="dxa" w:w="2700"/>
            <w:shd w:fill="F7F1E3"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Suggested Length</w:t>
            </w:r>
          </w:p>
        </w:tc>
        <w:tc>
          <w:tcPr>
            <w:tcW w:type="dxa" w:w="7100"/>
            <w:shd w:fill="F7F1E3"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Up to ~1500 words (≈110–130 words/minute)</w:t>
            </w:r>
          </w:p>
        </w:tc>
      </w:tr>
      <w:tr>
        <w:tc>
          <w:tcPr>
            <w:tcW w:type="dxa" w:w="2700"/>
            <w:shd w:fill="FFFFFF"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Anchor's Introduction Cue</w:t>
            </w:r>
          </w:p>
        </w:tc>
        <w:tc>
          <w:tcPr>
            <w:tcW w:type="dxa" w:w="7100"/>
            <w:shd w:fill="FFFFFF"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“We now invite Prof. (Dr.) Subash Chandra Das, Principal, Falakata College, to deliver Invited Address VI. Sir/Madam, the floor is yours.”</w:t>
            </w:r>
          </w:p>
        </w:tc>
      </w:tr>
      <w:tr>
        <w:tc>
          <w:tcPr>
            <w:tcW w:type="dxa" w:w="2700"/>
            <w:shd w:fill="F7F1E3"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Anchor's Closing Line</w:t>
            </w:r>
          </w:p>
        </w:tc>
        <w:tc>
          <w:tcPr>
            <w:tcW w:type="dxa" w:w="7100"/>
            <w:shd w:fill="F7F1E3"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“Thank you, Sir, for that valuable address.”</w:t>
            </w:r>
          </w:p>
        </w:tc>
      </w:tr>
    </w:tbl>
    <w:p>
      <w:pPr>
        <w:spacing w:after="140"/>
      </w:pPr>
    </w:p>
    <w:p>
      <w:pPr>
        <w:pStyle w:val="Heading1"/>
        <w:pBdr>
          <w:bottom w:val="single" w:color="C8972A" w:sz="8" w:space="6"/>
        </w:pBdr>
        <w:spacing w:after="100" w:before="300"/>
      </w:pPr>
      <w:r>
        <w:rPr>
          <w:rFonts w:ascii="Cambria" w:cs="Cambria" w:eastAsia="Cambria" w:hAnsi="Cambria"/>
          <w:b/>
          <w:bCs/>
          <w:color w:val="0D1B3E"/>
          <w:sz w:val="27"/>
          <w:szCs w:val="27"/>
        </w:rPr>
        <w:t xml:space="preserve">Timing &amp; Pacing Guide</w:t>
      </w:r>
    </w:p>
    <w:p>
      <w:pPr>
        <w:spacing w:after="120" w:line="250"/>
      </w:pPr>
      <w:r>
        <w:rPr>
          <w:rFonts w:ascii="Calibri" w:cs="Calibri" w:eastAsia="Calibri" w:hAnsi="Calibri"/>
          <w:i/>
          <w:iCs/>
          <w:color w:val="555555"/>
          <w:sz w:val="17"/>
          <w:szCs w:val="17"/>
        </w:rPr>
        <w:t xml:space="preserve">Clock times below are calculated from the scheduled start of this slot and are a pacing guide, not a rigid script — adjust live if the programme is running early or late, but keep within the allotted duration so the next speaker is not delayed.</w:t>
      </w:r>
    </w:p>
    <w:tbl>
      <w:tblPr>
        <w:tblW w:type="dxa" w:w="9800"/>
        <w:tblBorders>
          <w:top w:val="single" w:color="auto" w:sz="4"/>
          <w:left w:val="single" w:color="auto" w:sz="4"/>
          <w:bottom w:val="single" w:color="auto" w:sz="4"/>
          <w:right w:val="single" w:color="auto" w:sz="4"/>
          <w:insideH w:val="single" w:color="auto" w:sz="4"/>
          <w:insideV w:val="single" w:color="auto" w:sz="4"/>
        </w:tblBorders>
      </w:tblPr>
      <w:tblGrid>
        <w:gridCol w:w="2600"/>
        <w:gridCol w:w="5400"/>
        <w:gridCol w:w="1800"/>
      </w:tblGrid>
      <w:tr>
        <w:trPr>
          <w:tblHeader/>
        </w:trPr>
        <w:tc>
          <w:tcPr>
            <w:tcW w:type="dxa" w:w="2600"/>
            <w:shd w:fill="0D1B3E" w:color="auto" w:val="clear"/>
            <w:tcMar>
              <w:top w:type="dxa" w:w="70"/>
              <w:left w:type="dxa" w:w="100"/>
              <w:bottom w:type="dxa" w:w="70"/>
              <w:right w:type="dxa" w:w="100"/>
            </w:tcMar>
            <w:vAlign w:val="center"/>
          </w:tcPr>
          <w:p>
            <w:r>
              <w:rPr>
                <w:rFonts w:ascii="Calibri" w:cs="Calibri" w:eastAsia="Calibri" w:hAnsi="Calibri"/>
                <w:b/>
                <w:bCs/>
                <w:color w:val="FFFFFF"/>
                <w:sz w:val="17"/>
                <w:szCs w:val="17"/>
              </w:rPr>
              <w:t xml:space="preserve">Clock Time</w:t>
            </w:r>
          </w:p>
        </w:tc>
        <w:tc>
          <w:tcPr>
            <w:tcW w:type="dxa" w:w="5400"/>
            <w:shd w:fill="0D1B3E" w:color="auto" w:val="clear"/>
            <w:tcMar>
              <w:top w:type="dxa" w:w="70"/>
              <w:left w:type="dxa" w:w="100"/>
              <w:bottom w:type="dxa" w:w="70"/>
              <w:right w:type="dxa" w:w="100"/>
            </w:tcMar>
            <w:vAlign w:val="center"/>
          </w:tcPr>
          <w:p>
            <w:r>
              <w:rPr>
                <w:rFonts w:ascii="Calibri" w:cs="Calibri" w:eastAsia="Calibri" w:hAnsi="Calibri"/>
                <w:b/>
                <w:bCs/>
                <w:color w:val="FFFFFF"/>
                <w:sz w:val="17"/>
                <w:szCs w:val="17"/>
              </w:rPr>
              <w:t xml:space="preserve">What Happens</w:t>
            </w:r>
          </w:p>
        </w:tc>
        <w:tc>
          <w:tcPr>
            <w:tcW w:type="dxa" w:w="1800"/>
            <w:shd w:fill="0D1B3E" w:color="auto" w:val="clear"/>
            <w:tcMar>
              <w:top w:type="dxa" w:w="70"/>
              <w:left w:type="dxa" w:w="100"/>
              <w:bottom w:type="dxa" w:w="70"/>
              <w:right w:type="dxa" w:w="100"/>
            </w:tcMar>
            <w:vAlign w:val="center"/>
          </w:tcPr>
          <w:p>
            <w:r>
              <w:rPr>
                <w:rFonts w:ascii="Calibri" w:cs="Calibri" w:eastAsia="Calibri" w:hAnsi="Calibri"/>
                <w:b/>
                <w:bCs/>
                <w:color w:val="FFFFFF"/>
                <w:sz w:val="17"/>
                <w:szCs w:val="17"/>
              </w:rPr>
              <w:t xml:space="preserve">Duration</w:t>
            </w:r>
          </w:p>
        </w:tc>
      </w:tr>
      <w:tr>
        <w:tc>
          <w:tcPr>
            <w:tcW w:type="dxa" w:w="2600"/>
            <w:shd w:fill="FFFFFF"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1:20 – 1:21 PM</w:t>
            </w:r>
          </w:p>
        </w:tc>
        <w:tc>
          <w:tcPr>
            <w:tcW w:type="dxa" w:w="54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Opening &amp; framing remarks</w:t>
            </w:r>
          </w:p>
        </w:tc>
        <w:tc>
          <w:tcPr>
            <w:tcW w:type="dxa" w:w="18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1 min</w:t>
            </w:r>
          </w:p>
        </w:tc>
      </w:tr>
      <w:tr>
        <w:tc>
          <w:tcPr>
            <w:tcW w:type="dxa" w:w="2600"/>
            <w:shd w:fill="F7F1E3"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1:21 – 1:24 PM</w:t>
            </w:r>
          </w:p>
        </w:tc>
        <w:tc>
          <w:tcPr>
            <w:tcW w:type="dxa" w:w="54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Point 1 — My main point</w:t>
            </w:r>
          </w:p>
        </w:tc>
        <w:tc>
          <w:tcPr>
            <w:tcW w:type="dxa" w:w="18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3 min</w:t>
            </w:r>
          </w:p>
        </w:tc>
      </w:tr>
      <w:tr>
        <w:tc>
          <w:tcPr>
            <w:tcW w:type="dxa" w:w="2600"/>
            <w:shd w:fill="FFFFFF"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1:24 – 1:27 PM</w:t>
            </w:r>
          </w:p>
        </w:tc>
        <w:tc>
          <w:tcPr>
            <w:tcW w:type="dxa" w:w="54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Point 2 — What this can look like</w:t>
            </w:r>
          </w:p>
        </w:tc>
        <w:tc>
          <w:tcPr>
            <w:tcW w:type="dxa" w:w="18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3 min</w:t>
            </w:r>
          </w:p>
        </w:tc>
      </w:tr>
      <w:tr>
        <w:tc>
          <w:tcPr>
            <w:tcW w:type="dxa" w:w="2600"/>
            <w:shd w:fill="F7F1E3"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1:27 – 1:30 PM</w:t>
            </w:r>
          </w:p>
        </w:tc>
        <w:tc>
          <w:tcPr>
            <w:tcW w:type="dxa" w:w="54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Point 3 — Why this matters for Vikshit Bharat 2047</w:t>
            </w:r>
          </w:p>
        </w:tc>
        <w:tc>
          <w:tcPr>
            <w:tcW w:type="dxa" w:w="18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3 min</w:t>
            </w:r>
          </w:p>
        </w:tc>
      </w:tr>
      <w:tr>
        <w:tc>
          <w:tcPr>
            <w:tcW w:type="dxa" w:w="2600"/>
            <w:shd w:fill="FFFFFF"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1:30 – 1:33 PM</w:t>
            </w:r>
          </w:p>
        </w:tc>
        <w:tc>
          <w:tcPr>
            <w:tcW w:type="dxa" w:w="54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Point 4 — My recommendation</w:t>
            </w:r>
          </w:p>
        </w:tc>
        <w:tc>
          <w:tcPr>
            <w:tcW w:type="dxa" w:w="18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3 min</w:t>
            </w:r>
          </w:p>
        </w:tc>
      </w:tr>
      <w:tr>
        <w:tc>
          <w:tcPr>
            <w:tcW w:type="dxa" w:w="2600"/>
            <w:shd w:fill="F7F1E3"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1:33 – 1:35 PM</w:t>
            </w:r>
          </w:p>
        </w:tc>
        <w:tc>
          <w:tcPr>
            <w:tcW w:type="dxa" w:w="54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Closing remarks</w:t>
            </w:r>
          </w:p>
        </w:tc>
        <w:tc>
          <w:tcPr>
            <w:tcW w:type="dxa" w:w="18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2 min</w:t>
            </w:r>
          </w:p>
        </w:tc>
      </w:tr>
    </w:tbl>
    <w:p>
      <w:pPr>
        <w:spacing w:after="160"/>
      </w:pPr>
    </w:p>
    <w:p>
      <w:pPr>
        <w:pStyle w:val="Heading1"/>
        <w:pBdr>
          <w:bottom w:val="single" w:color="C8972A" w:sz="8" w:space="6"/>
        </w:pBdr>
        <w:spacing w:after="100" w:before="300"/>
      </w:pPr>
      <w:r>
        <w:rPr>
          <w:rFonts w:ascii="Cambria" w:cs="Cambria" w:eastAsia="Cambria" w:hAnsi="Cambria"/>
          <w:b/>
          <w:bCs/>
          <w:color w:val="0D1B3E"/>
          <w:sz w:val="27"/>
          <w:szCs w:val="27"/>
        </w:rPr>
        <w:t xml:space="preserve">Speech Script</w:t>
      </w:r>
    </w:p>
    <w:p>
      <w:pPr>
        <w:spacing w:after="120" w:line="250"/>
      </w:pPr>
      <w:r>
        <w:rPr>
          <w:rFonts w:ascii="Calibri" w:cs="Calibri" w:eastAsia="Calibri" w:hAnsi="Calibri"/>
          <w:i/>
          <w:iCs/>
          <w:color w:val="555555"/>
          <w:sz w:val="17"/>
          <w:szCs w:val="17"/>
        </w:rPr>
        <w:t xml:space="preserve">This is a general, illustrative draft on the seminar's theme — not based on this resource person's actual unpublished research, personal data, or institutional findings. Please review, personalize with your own examples and knowledge, and verify every fact before speaking, especially in front of two Hon'ble Ministers, an international audience, and a livestream.</w:t>
      </w:r>
    </w:p>
    <w:p>
      <w:pPr>
        <w:spacing w:after="130" w:line="300"/>
      </w:pPr>
      <w:r>
        <w:rPr>
          <w:rFonts w:ascii="Calibri" w:cs="Calibri" w:eastAsia="Calibri" w:hAnsi="Calibri"/>
          <w:color w:val="222222"/>
          <w:sz w:val="21"/>
          <w:szCs w:val="21"/>
        </w:rPr>
        <w:t xml:space="preserve">Respected dignitaries, fellow resource persons, and dear participants — thank you for the opportunity to deliver the final invited address of this morning's session.</w:t>
      </w:r>
    </w:p>
    <w:p>
      <w:pPr>
        <w:spacing w:after="130" w:line="300"/>
      </w:pPr>
      <w:r>
        <w:rPr>
          <w:rFonts w:ascii="Calibri" w:cs="Calibri" w:eastAsia="Calibri" w:hAnsi="Calibri"/>
          <w:color w:val="222222"/>
          <w:sz w:val="21"/>
          <w:szCs w:val="21"/>
        </w:rPr>
        <w:t xml:space="preserve">As we come to the end of this academic session, I want to offer a few closing thoughts that bring today's ideas together for India.</w:t>
      </w:r>
    </w:p>
    <w:p>
      <w:pPr>
        <w:spacing w:after="30" w:before="100"/>
      </w:pPr>
      <w:r>
        <w:rPr>
          <w:rFonts w:ascii="Calibri" w:cs="Calibri" w:eastAsia="Calibri" w:hAnsi="Calibri"/>
          <w:b/>
          <w:bCs/>
          <w:i/>
          <w:iCs/>
          <w:color w:val="9C7620"/>
          <w:sz w:val="18"/>
          <w:szCs w:val="18"/>
        </w:rPr>
        <w:t xml:space="preserve">Point 1 — My main point</w:t>
      </w:r>
    </w:p>
    <w:p>
      <w:pPr>
        <w:spacing w:after="130" w:line="300"/>
      </w:pPr>
      <w:r>
        <w:rPr>
          <w:rFonts w:ascii="Calibri" w:cs="Calibri" w:eastAsia="Calibri" w:hAnsi="Calibri"/>
          <w:color w:val="222222"/>
          <w:sz w:val="21"/>
          <w:szCs w:val="21"/>
        </w:rPr>
        <w:t xml:space="preserve">The way we assess trainee teachers in India must also change. It should measure real classroom readiness, not just memory in a written exam.</w:t>
      </w:r>
    </w:p>
    <w:p>
      <w:pPr>
        <w:spacing w:after="30" w:before="100"/>
      </w:pPr>
      <w:r>
        <w:rPr>
          <w:rFonts w:ascii="Calibri" w:cs="Calibri" w:eastAsia="Calibri" w:hAnsi="Calibri"/>
          <w:b/>
          <w:bCs/>
          <w:i/>
          <w:iCs/>
          <w:color w:val="9C7620"/>
          <w:sz w:val="18"/>
          <w:szCs w:val="18"/>
        </w:rPr>
        <w:t xml:space="preserve">Point 2 — What this can look like</w:t>
      </w:r>
    </w:p>
    <w:p>
      <w:pPr>
        <w:spacing w:after="130" w:line="300"/>
      </w:pPr>
      <w:r>
        <w:rPr>
          <w:rFonts w:ascii="Calibri" w:cs="Calibri" w:eastAsia="Calibri" w:hAnsi="Calibri"/>
          <w:color w:val="222222"/>
          <w:sz w:val="21"/>
          <w:szCs w:val="21"/>
        </w:rPr>
        <w:t xml:space="preserve">This means judging teachers on real skills — through practical assessment, a portfolio of their work over time, and honest reflection on their own teaching practice, alongside written exams.</w:t>
      </w:r>
    </w:p>
    <w:p>
      <w:pPr>
        <w:spacing w:after="30" w:before="100"/>
      </w:pPr>
      <w:r>
        <w:rPr>
          <w:rFonts w:ascii="Calibri" w:cs="Calibri" w:eastAsia="Calibri" w:hAnsi="Calibri"/>
          <w:b/>
          <w:bCs/>
          <w:i/>
          <w:iCs/>
          <w:color w:val="9C7620"/>
          <w:sz w:val="18"/>
          <w:szCs w:val="18"/>
        </w:rPr>
        <w:t xml:space="preserve">Point 3 — Why this matters for Vikshit Bharat 2047</w:t>
      </w:r>
    </w:p>
    <w:p>
      <w:pPr>
        <w:spacing w:after="130" w:line="300"/>
      </w:pPr>
      <w:r>
        <w:rPr>
          <w:rFonts w:ascii="Calibri" w:cs="Calibri" w:eastAsia="Calibri" w:hAnsi="Calibri"/>
          <w:color w:val="222222"/>
          <w:sz w:val="21"/>
          <w:szCs w:val="21"/>
        </w:rPr>
        <w:t xml:space="preserve">Teachers who are tested for real classroom skill, not only memory, will build a stronger foundation for the India we hope to see by 2047.</w:t>
      </w:r>
    </w:p>
    <w:p>
      <w:pPr>
        <w:spacing w:after="30" w:before="100"/>
      </w:pPr>
      <w:r>
        <w:rPr>
          <w:rFonts w:ascii="Calibri" w:cs="Calibri" w:eastAsia="Calibri" w:hAnsi="Calibri"/>
          <w:b/>
          <w:bCs/>
          <w:i/>
          <w:iCs/>
          <w:color w:val="9C7620"/>
          <w:sz w:val="18"/>
          <w:szCs w:val="18"/>
        </w:rPr>
        <w:t xml:space="preserve">Point 4 — My recommendation</w:t>
      </w:r>
    </w:p>
    <w:p>
      <w:pPr>
        <w:spacing w:after="130" w:line="300"/>
      </w:pPr>
      <w:r>
        <w:rPr>
          <w:rFonts w:ascii="Calibri" w:cs="Calibri" w:eastAsia="Calibri" w:hAnsi="Calibri"/>
          <w:color w:val="222222"/>
          <w:sz w:val="21"/>
          <w:szCs w:val="21"/>
        </w:rPr>
        <w:t xml:space="preserve">I recommend that Indian teacher-training colleges give real classroom performance and reflective portfolios a bigger place in assessment, alongside written examinations, not instead of them.</w:t>
      </w:r>
    </w:p>
    <w:p>
      <w:pPr>
        <w:spacing w:after="130" w:line="300"/>
      </w:pPr>
      <w:r>
        <w:rPr>
          <w:rFonts w:ascii="Calibri" w:cs="Calibri" w:eastAsia="Calibri" w:hAnsi="Calibri"/>
          <w:color w:val="222222"/>
          <w:sz w:val="21"/>
          <w:szCs w:val="21"/>
        </w:rPr>
        <w:t xml:space="preserve">Thank you all for your attention through this morning's session — I look forward to an engaging Open House discussion shortly.</w:t>
      </w:r>
    </w:p>
    <w:sectPr>
      <w:headerReference w:type="default" r:id="rId7"/>
      <w:footerReference w:type="default" r:id="rId8"/>
      <w:pgSz w:w="11906" w:h="16838" w:orient="portrait"/>
      <w:pgMar w:top="900" w:right="1000" w:bottom="95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after="15"/>
      <w:jc w:val="center"/>
    </w:pPr>
    <w:r>
      <w:rPr>
        <w:rFonts w:ascii="Calibri" w:cs="Calibri" w:eastAsia="Calibri" w:hAnsi="Calibri"/>
        <w:b/>
        <w:bCs/>
        <w:color w:val="0D1B3E"/>
        <w:sz w:val="14"/>
        <w:szCs w:val="14"/>
      </w:rPr>
      <w:t xml:space="preserve">Baikuntha College of Education  ·  International Seminar 2026</w:t>
    </w:r>
  </w:p>
  <w:p>
    <w:pPr>
      <w:spacing w:after="20"/>
      <w:jc w:val="center"/>
    </w:pPr>
    <w:r>
      <w:rPr>
        <w:rFonts w:ascii="Calibri" w:cs="Calibri" w:eastAsia="Calibri" w:hAnsi="Calibri"/>
        <w:i/>
        <w:iCs/>
        <w:color w:val="555555"/>
        <w:sz w:val="13"/>
        <w:szCs w:val="13"/>
      </w:rPr>
      <w:t xml:space="preserve">Organizing Partner: Onusandhanapp.com — powered by Topic Engine (www.topicengine.co.in)</w:t>
    </w:r>
  </w:p>
  <w:p>
    <w:pPr>
      <w:jc w:val="center"/>
    </w:pPr>
    <w:r>
      <w:rPr>
        <w:rFonts w:ascii="Calibri" w:cs="Calibri" w:eastAsia="Calibri" w:hAnsi="Calibri"/>
        <w:color w:val="555555"/>
        <w:sz w:val="14"/>
        <w:szCs w:val="14"/>
      </w:rPr>
      <w:t xml:space="preserve">Page </w:t>
    </w:r>
    <w:r>
      <w:rPr>
        <w:rFonts w:ascii="Calibri" w:cs="Calibri" w:eastAsia="Calibri" w:hAnsi="Calibri"/>
        <w:color w:val="555555"/>
        <w:sz w:val="14"/>
        <w:szCs w:val="14"/>
      </w:rPr>
      <w:fldChar w:fldCharType="begin"/>
      <w:instrText xml:space="preserve">PAGE</w:instrText>
      <w:fldChar w:fldCharType="separate"/>
      <w:fldChar w:fldCharType="end"/>
    </w:r>
    <w:r>
      <w:rPr>
        <w:rFonts w:ascii="Calibri" w:cs="Calibri" w:eastAsia="Calibri" w:hAnsi="Calibri"/>
        <w:color w:val="555555"/>
        <w:sz w:val="14"/>
        <w:szCs w:val="14"/>
      </w:rPr>
      <w:t xml:space="preserve"> of </w:t>
    </w:r>
    <w:r>
      <w:rPr>
        <w:rFonts w:ascii="Calibri" w:cs="Calibri" w:eastAsia="Calibri" w:hAnsi="Calibri"/>
        <w:color w:val="555555"/>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2"/>
      </w:pBdr>
      <w:jc w:val="right"/>
    </w:pPr>
    <w:r>
      <w:rPr>
        <w:rFonts w:ascii="Calibri" w:cs="Calibri" w:eastAsia="Calibri" w:hAnsi="Calibri"/>
        <w:color w:val="555555"/>
        <w:sz w:val="13"/>
        <w:szCs w:val="13"/>
      </w:rPr>
      <w:t xml:space="preserve">Baikuntha College of Education · International Seminar 2026 · Speech Script — Prof. (Dr.) Subash Chandra Das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2026-08-26T09:50:02.447Z</dcterms:created>
  <dcterms:modified xsi:type="dcterms:W3CDTF">2026-08-26T09:50:02.447Z</dcterms:modified>
</cp:coreProperties>
</file>

<file path=docProps/custom.xml><?xml version="1.0" encoding="utf-8"?>
<Properties xmlns="http://schemas.openxmlformats.org/officeDocument/2006/custom-properties" xmlns:vt="http://schemas.openxmlformats.org/officeDocument/2006/docPropsVTypes"/>
</file>