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 w:before="60"/>
        <w:jc w:val="center"/>
      </w:pPr>
      <w:r>
        <w:rPr>
          <w:rFonts w:ascii="Calibri" w:cs="Calibri" w:eastAsia="Calibri" w:hAnsi="Calibri"/>
          <w:b/>
          <w:bCs/>
          <w:color w:val="9C7620"/>
          <w:sz w:val="17"/>
          <w:szCs w:val="17"/>
        </w:rPr>
        <w:t xml:space="preserve">IQAC · BAIKUNTHA COLLEGE OF EDUCATION</w:t>
      </w:r>
    </w:p>
    <w:p>
      <w:pPr>
        <w:spacing w:after="10" w:before="40"/>
        <w:jc w:val="center"/>
      </w:pPr>
      <w:r>
        <w:rPr>
          <w:rFonts w:ascii="Cambria" w:cs="Cambria" w:eastAsia="Cambria" w:hAnsi="Cambria"/>
          <w:b/>
          <w:bCs/>
          <w:color w:val="0D1B3E"/>
          <w:sz w:val="22"/>
          <w:szCs w:val="22"/>
        </w:rPr>
        <w:t xml:space="preserve">RESOURCE PERSON SPEECH SCRIPT</w:t>
      </w:r>
    </w:p>
    <w:p>
      <w:pPr>
        <w:spacing w:after="6" w:before="60"/>
        <w:jc w:val="center"/>
      </w:pPr>
      <w:r>
        <w:rPr>
          <w:rFonts w:ascii="Cambria" w:cs="Cambria" w:eastAsia="Cambria" w:hAnsi="Cambria"/>
          <w:b/>
          <w:bCs/>
          <w:color w:val="9C7620"/>
          <w:sz w:val="32"/>
          <w:szCs w:val="32"/>
        </w:rPr>
        <w:t xml:space="preserve">Prof. (Dr.) Sushanta Kumar Roul</w:t>
      </w:r>
    </w:p>
    <w:p>
      <w:pPr>
        <w:spacing w:after="6"/>
        <w:jc w:val="center"/>
      </w:pPr>
      <w:r>
        <w:rPr>
          <w:rFonts w:ascii="Calibri" w:cs="Calibri" w:eastAsia="Calibri" w:hAnsi="Calibri"/>
          <w:color w:val="222222"/>
          <w:sz w:val="19"/>
          <w:szCs w:val="19"/>
        </w:rPr>
        <w:t xml:space="preserve">Principal, Lalabari Mahavidyalaya</w:t>
      </w:r>
    </w:p>
    <w:p>
      <w:pPr>
        <w:spacing w:after="160"/>
        <w:jc w:val="center"/>
      </w:pPr>
      <w:r>
        <w:rPr>
          <w:rFonts w:ascii="Calibri" w:cs="Calibri" w:eastAsia="Calibri" w:hAnsi="Calibri"/>
          <w:color w:val="555555"/>
          <w:sz w:val="15"/>
          <w:szCs w:val="15"/>
        </w:rPr>
        <w:t xml:space="preserve">International Seminar 2026 · 28 August 2026 · Multipurpose Hall, Baikuntha College of Education · Hybrid Mode</w:t>
      </w:r>
    </w:p>
    <w:tbl>
      <w:tblPr>
        <w:tblW w:type="dxa" w:w="9800"/>
        <w:tblBorders>
          <w:top w:val="single" w:color="C8972A" w:sz="8"/>
          <w:left w:val="single" w:color="C8972A" w:sz="8"/>
          <w:bottom w:val="single" w:color="C8972A" w:sz="8"/>
          <w:right w:val="single" w:color="C8972A" w:sz="8"/>
          <w:insideH w:val="single" w:color="E4D9BE" w:sz="2"/>
          <w:insideV w:val="single" w:color="E4D9BE" w:sz="2"/>
        </w:tblBorders>
      </w:tblPr>
      <w:tblGrid>
        <w:gridCol w:w="2700"/>
        <w:gridCol w:w="7100"/>
      </w:tblGrid>
      <w:tr>
        <w:tc>
          <w:tcPr>
            <w:tcW w:type="dxa" w:w="2700"/>
            <w:shd w:fill="FFFFFF"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Session</w:t>
            </w:r>
          </w:p>
        </w:tc>
        <w:tc>
          <w:tcPr>
            <w:tcW w:type="dxa" w:w="7100"/>
            <w:shd w:fill="FFFFFF"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Invited Address IV</w:t>
            </w:r>
          </w:p>
        </w:tc>
      </w:tr>
      <w:tr>
        <w:tc>
          <w:tcPr>
            <w:tcW w:type="dxa" w:w="2700"/>
            <w:shd w:fill="F7F1E3"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Scheduled Slot</w:t>
            </w:r>
          </w:p>
        </w:tc>
        <w:tc>
          <w:tcPr>
            <w:tcW w:type="dxa" w:w="7100"/>
            <w:shd w:fill="F7F1E3"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12:50 – 1:05 PM</w:t>
            </w:r>
          </w:p>
        </w:tc>
      </w:tr>
      <w:tr>
        <w:tc>
          <w:tcPr>
            <w:tcW w:type="dxa" w:w="2700"/>
            <w:shd w:fill="FFFFFF"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Allotted Duration</w:t>
            </w:r>
          </w:p>
        </w:tc>
        <w:tc>
          <w:tcPr>
            <w:tcW w:type="dxa" w:w="7100"/>
            <w:shd w:fill="FFFFFF"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15 minutes</w:t>
            </w:r>
          </w:p>
        </w:tc>
      </w:tr>
      <w:tr>
        <w:tc>
          <w:tcPr>
            <w:tcW w:type="dxa" w:w="2700"/>
            <w:shd w:fill="F7F1E3"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Suggested Length</w:t>
            </w:r>
          </w:p>
        </w:tc>
        <w:tc>
          <w:tcPr>
            <w:tcW w:type="dxa" w:w="7100"/>
            <w:shd w:fill="F7F1E3"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Up to ~1500 words (≈110–130 words/minute)</w:t>
            </w:r>
          </w:p>
        </w:tc>
      </w:tr>
      <w:tr>
        <w:tc>
          <w:tcPr>
            <w:tcW w:type="dxa" w:w="2700"/>
            <w:shd w:fill="FFFFFF"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Anchor's Introduction Cue</w:t>
            </w:r>
          </w:p>
        </w:tc>
        <w:tc>
          <w:tcPr>
            <w:tcW w:type="dxa" w:w="7100"/>
            <w:shd w:fill="FFFFFF"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“We now invite Prof. (Dr.) Sushanta Kumar Roul, Principal, Lalabari Mahavidyalaya, to deliver Invited Address IV. Sir/Madam, the floor is yours.”</w:t>
            </w:r>
          </w:p>
        </w:tc>
      </w:tr>
      <w:tr>
        <w:tc>
          <w:tcPr>
            <w:tcW w:type="dxa" w:w="2700"/>
            <w:shd w:fill="F7F1E3"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Anchor's Closing Line</w:t>
            </w:r>
          </w:p>
        </w:tc>
        <w:tc>
          <w:tcPr>
            <w:tcW w:type="dxa" w:w="7100"/>
            <w:shd w:fill="F7F1E3"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“Thank you, Sir, for that enriching session.”</w:t>
            </w:r>
          </w:p>
        </w:tc>
      </w:tr>
    </w:tbl>
    <w:p>
      <w:pPr>
        <w:spacing w:after="140"/>
      </w:pPr>
    </w:p>
    <w:p>
      <w:pPr>
        <w:pStyle w:val="Heading1"/>
        <w:pBdr>
          <w:bottom w:val="single" w:color="C8972A" w:sz="8" w:space="6"/>
        </w:pBdr>
        <w:spacing w:after="100" w:before="300"/>
      </w:pPr>
      <w:r>
        <w:rPr>
          <w:rFonts w:ascii="Cambria" w:cs="Cambria" w:eastAsia="Cambria" w:hAnsi="Cambria"/>
          <w:b/>
          <w:bCs/>
          <w:color w:val="0D1B3E"/>
          <w:sz w:val="27"/>
          <w:szCs w:val="27"/>
        </w:rPr>
        <w:t xml:space="preserve">Timing &amp; Pacing Guide</w:t>
      </w:r>
    </w:p>
    <w:p>
      <w:pPr>
        <w:spacing w:after="120" w:line="250"/>
      </w:pPr>
      <w:r>
        <w:rPr>
          <w:rFonts w:ascii="Calibri" w:cs="Calibri" w:eastAsia="Calibri" w:hAnsi="Calibri"/>
          <w:i/>
          <w:iCs/>
          <w:color w:val="555555"/>
          <w:sz w:val="17"/>
          <w:szCs w:val="17"/>
        </w:rPr>
        <w:t xml:space="preserve">Clock times below are calculated from the scheduled start of this slot and are a pacing guide, not a rigid script — adjust live if the programme is running early or late, but keep within the allotted duration so the next speaker is not delayed.</w:t>
      </w:r>
    </w:p>
    <w:tbl>
      <w:tblPr>
        <w:tblW w:type="dxa" w:w="9800"/>
        <w:tblBorders>
          <w:top w:val="single" w:color="auto" w:sz="4"/>
          <w:left w:val="single" w:color="auto" w:sz="4"/>
          <w:bottom w:val="single" w:color="auto" w:sz="4"/>
          <w:right w:val="single" w:color="auto" w:sz="4"/>
          <w:insideH w:val="single" w:color="auto" w:sz="4"/>
          <w:insideV w:val="single" w:color="auto" w:sz="4"/>
        </w:tblBorders>
      </w:tblPr>
      <w:tblGrid>
        <w:gridCol w:w="2600"/>
        <w:gridCol w:w="5400"/>
        <w:gridCol w:w="1800"/>
      </w:tblGrid>
      <w:tr>
        <w:trPr>
          <w:tblHeader/>
        </w:trPr>
        <w:tc>
          <w:tcPr>
            <w:tcW w:type="dxa" w:w="2600"/>
            <w:shd w:fill="0D1B3E" w:color="auto" w:val="clear"/>
            <w:tcMar>
              <w:top w:type="dxa" w:w="70"/>
              <w:left w:type="dxa" w:w="100"/>
              <w:bottom w:type="dxa" w:w="70"/>
              <w:right w:type="dxa" w:w="100"/>
            </w:tcMar>
            <w:vAlign w:val="center"/>
          </w:tcPr>
          <w:p>
            <w:r>
              <w:rPr>
                <w:rFonts w:ascii="Calibri" w:cs="Calibri" w:eastAsia="Calibri" w:hAnsi="Calibri"/>
                <w:b/>
                <w:bCs/>
                <w:color w:val="FFFFFF"/>
                <w:sz w:val="17"/>
                <w:szCs w:val="17"/>
              </w:rPr>
              <w:t xml:space="preserve">Clock Time</w:t>
            </w:r>
          </w:p>
        </w:tc>
        <w:tc>
          <w:tcPr>
            <w:tcW w:type="dxa" w:w="5400"/>
            <w:shd w:fill="0D1B3E" w:color="auto" w:val="clear"/>
            <w:tcMar>
              <w:top w:type="dxa" w:w="70"/>
              <w:left w:type="dxa" w:w="100"/>
              <w:bottom w:type="dxa" w:w="70"/>
              <w:right w:type="dxa" w:w="100"/>
            </w:tcMar>
            <w:vAlign w:val="center"/>
          </w:tcPr>
          <w:p>
            <w:r>
              <w:rPr>
                <w:rFonts w:ascii="Calibri" w:cs="Calibri" w:eastAsia="Calibri" w:hAnsi="Calibri"/>
                <w:b/>
                <w:bCs/>
                <w:color w:val="FFFFFF"/>
                <w:sz w:val="17"/>
                <w:szCs w:val="17"/>
              </w:rPr>
              <w:t xml:space="preserve">What Happens</w:t>
            </w:r>
          </w:p>
        </w:tc>
        <w:tc>
          <w:tcPr>
            <w:tcW w:type="dxa" w:w="1800"/>
            <w:shd w:fill="0D1B3E" w:color="auto" w:val="clear"/>
            <w:tcMar>
              <w:top w:type="dxa" w:w="70"/>
              <w:left w:type="dxa" w:w="100"/>
              <w:bottom w:type="dxa" w:w="70"/>
              <w:right w:type="dxa" w:w="100"/>
            </w:tcMar>
            <w:vAlign w:val="center"/>
          </w:tcPr>
          <w:p>
            <w:r>
              <w:rPr>
                <w:rFonts w:ascii="Calibri" w:cs="Calibri" w:eastAsia="Calibri" w:hAnsi="Calibri"/>
                <w:b/>
                <w:bCs/>
                <w:color w:val="FFFFFF"/>
                <w:sz w:val="17"/>
                <w:szCs w:val="17"/>
              </w:rPr>
              <w:t xml:space="preserve">Duration</w:t>
            </w:r>
          </w:p>
        </w:tc>
      </w:tr>
      <w:tr>
        <w:tc>
          <w:tcPr>
            <w:tcW w:type="dxa" w:w="2600"/>
            <w:shd w:fill="FFFFFF"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12:50 – 12:51 PM</w:t>
            </w:r>
          </w:p>
        </w:tc>
        <w:tc>
          <w:tcPr>
            <w:tcW w:type="dxa" w:w="54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Opening &amp; framing remarks</w:t>
            </w:r>
          </w:p>
        </w:tc>
        <w:tc>
          <w:tcPr>
            <w:tcW w:type="dxa" w:w="18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1 min</w:t>
            </w:r>
          </w:p>
        </w:tc>
      </w:tr>
      <w:tr>
        <w:tc>
          <w:tcPr>
            <w:tcW w:type="dxa" w:w="2600"/>
            <w:shd w:fill="F7F1E3"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12:51 – 12:54 PM</w:t>
            </w:r>
          </w:p>
        </w:tc>
        <w:tc>
          <w:tcPr>
            <w:tcW w:type="dxa" w:w="54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Point 1 — My main point</w:t>
            </w:r>
          </w:p>
        </w:tc>
        <w:tc>
          <w:tcPr>
            <w:tcW w:type="dxa" w:w="18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3 min</w:t>
            </w:r>
          </w:p>
        </w:tc>
      </w:tr>
      <w:tr>
        <w:tc>
          <w:tcPr>
            <w:tcW w:type="dxa" w:w="2600"/>
            <w:shd w:fill="FFFFFF"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12:54 – 12:57 PM</w:t>
            </w:r>
          </w:p>
        </w:tc>
        <w:tc>
          <w:tcPr>
            <w:tcW w:type="dxa" w:w="54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Point 2 — What this needs to succeed</w:t>
            </w:r>
          </w:p>
        </w:tc>
        <w:tc>
          <w:tcPr>
            <w:tcW w:type="dxa" w:w="18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3 min</w:t>
            </w:r>
          </w:p>
        </w:tc>
      </w:tr>
      <w:tr>
        <w:tc>
          <w:tcPr>
            <w:tcW w:type="dxa" w:w="2600"/>
            <w:shd w:fill="F7F1E3"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12:57 – 1:00 PM</w:t>
            </w:r>
          </w:p>
        </w:tc>
        <w:tc>
          <w:tcPr>
            <w:tcW w:type="dxa" w:w="54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Point 3 — Why this matters for Vikshit Bharat 2047</w:t>
            </w:r>
          </w:p>
        </w:tc>
        <w:tc>
          <w:tcPr>
            <w:tcW w:type="dxa" w:w="18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3 min</w:t>
            </w:r>
          </w:p>
        </w:tc>
      </w:tr>
      <w:tr>
        <w:tc>
          <w:tcPr>
            <w:tcW w:type="dxa" w:w="2600"/>
            <w:shd w:fill="FFFFFF"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1:00 – 1:03 PM</w:t>
            </w:r>
          </w:p>
        </w:tc>
        <w:tc>
          <w:tcPr>
            <w:tcW w:type="dxa" w:w="54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Point 4 — My recommendation</w:t>
            </w:r>
          </w:p>
        </w:tc>
        <w:tc>
          <w:tcPr>
            <w:tcW w:type="dxa" w:w="18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3 min</w:t>
            </w:r>
          </w:p>
        </w:tc>
      </w:tr>
      <w:tr>
        <w:tc>
          <w:tcPr>
            <w:tcW w:type="dxa" w:w="2600"/>
            <w:shd w:fill="F7F1E3"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1:03 – 1:05 PM</w:t>
            </w:r>
          </w:p>
        </w:tc>
        <w:tc>
          <w:tcPr>
            <w:tcW w:type="dxa" w:w="54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Closing remarks</w:t>
            </w:r>
          </w:p>
        </w:tc>
        <w:tc>
          <w:tcPr>
            <w:tcW w:type="dxa" w:w="18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2 min</w:t>
            </w:r>
          </w:p>
        </w:tc>
      </w:tr>
    </w:tbl>
    <w:p>
      <w:pPr>
        <w:spacing w:after="160"/>
      </w:pPr>
    </w:p>
    <w:p>
      <w:pPr>
        <w:pStyle w:val="Heading1"/>
        <w:pBdr>
          <w:bottom w:val="single" w:color="C8972A" w:sz="8" w:space="6"/>
        </w:pBdr>
        <w:spacing w:after="100" w:before="300"/>
      </w:pPr>
      <w:r>
        <w:rPr>
          <w:rFonts w:ascii="Cambria" w:cs="Cambria" w:eastAsia="Cambria" w:hAnsi="Cambria"/>
          <w:b/>
          <w:bCs/>
          <w:color w:val="0D1B3E"/>
          <w:sz w:val="27"/>
          <w:szCs w:val="27"/>
        </w:rPr>
        <w:t xml:space="preserve">Speech Script</w:t>
      </w:r>
    </w:p>
    <w:p>
      <w:pPr>
        <w:spacing w:after="120" w:line="250"/>
      </w:pPr>
      <w:r>
        <w:rPr>
          <w:rFonts w:ascii="Calibri" w:cs="Calibri" w:eastAsia="Calibri" w:hAnsi="Calibri"/>
          <w:i/>
          <w:iCs/>
          <w:color w:val="555555"/>
          <w:sz w:val="17"/>
          <w:szCs w:val="17"/>
        </w:rPr>
        <w:t xml:space="preserve">This is a general, illustrative draft on the seminar's theme — not based on this resource person's actual unpublished research, personal data, or institutional findings. Please review, personalize with your own examples and knowledge, and verify every fact before speaking, especially in front of two Hon'ble Ministers, an international audience, and a livestream.</w:t>
      </w:r>
    </w:p>
    <w:p>
      <w:pPr>
        <w:spacing w:after="130" w:line="300"/>
      </w:pPr>
      <w:r>
        <w:rPr>
          <w:rFonts w:ascii="Calibri" w:cs="Calibri" w:eastAsia="Calibri" w:hAnsi="Calibri"/>
          <w:color w:val="222222"/>
          <w:sz w:val="21"/>
          <w:szCs w:val="21"/>
        </w:rPr>
        <w:t xml:space="preserve">Respected dignitaries, fellow resource persons, and dear participants — thank you for this opportunity to address you this afternoon.</w:t>
      </w:r>
    </w:p>
    <w:p>
      <w:pPr>
        <w:spacing w:after="130" w:line="300"/>
      </w:pPr>
      <w:r>
        <w:rPr>
          <w:rFonts w:ascii="Calibri" w:cs="Calibri" w:eastAsia="Calibri" w:hAnsi="Calibri"/>
          <w:color w:val="222222"/>
          <w:sz w:val="21"/>
          <w:szCs w:val="21"/>
        </w:rPr>
        <w:t xml:space="preserve">I want to use this time to connect this morning's discussion to my own area of work: the four-year B.Ed. programme under NEP 2020.</w:t>
      </w:r>
    </w:p>
    <w:p>
      <w:pPr>
        <w:spacing w:after="30" w:before="100"/>
      </w:pPr>
      <w:r>
        <w:rPr>
          <w:rFonts w:ascii="Calibri" w:cs="Calibri" w:eastAsia="Calibri" w:hAnsi="Calibri"/>
          <w:b/>
          <w:bCs/>
          <w:i/>
          <w:iCs/>
          <w:color w:val="9C7620"/>
          <w:sz w:val="18"/>
          <w:szCs w:val="18"/>
        </w:rPr>
        <w:t xml:space="preserve">Point 1 — My main point</w:t>
      </w:r>
    </w:p>
    <w:p>
      <w:pPr>
        <w:spacing w:after="130" w:line="300"/>
      </w:pPr>
      <w:r>
        <w:rPr>
          <w:rFonts w:ascii="Calibri" w:cs="Calibri" w:eastAsia="Calibri" w:hAnsi="Calibri"/>
          <w:color w:val="222222"/>
          <w:sz w:val="21"/>
          <w:szCs w:val="21"/>
        </w:rPr>
        <w:t xml:space="preserve">The new four-year integrated B.Ed. programme is a real chance to rebuild teacher training in India from the ground up, not just make the old course longer.</w:t>
      </w:r>
    </w:p>
    <w:p>
      <w:pPr>
        <w:spacing w:after="30" w:before="100"/>
      </w:pPr>
      <w:r>
        <w:rPr>
          <w:rFonts w:ascii="Calibri" w:cs="Calibri" w:eastAsia="Calibri" w:hAnsi="Calibri"/>
          <w:b/>
          <w:bCs/>
          <w:i/>
          <w:iCs/>
          <w:color w:val="9C7620"/>
          <w:sz w:val="18"/>
          <w:szCs w:val="18"/>
        </w:rPr>
        <w:t xml:space="preserve">Point 2 — What this needs to succeed</w:t>
      </w:r>
    </w:p>
    <w:p>
      <w:pPr>
        <w:spacing w:after="130" w:line="300"/>
      </w:pPr>
      <w:r>
        <w:rPr>
          <w:rFonts w:ascii="Calibri" w:cs="Calibri" w:eastAsia="Calibri" w:hAnsi="Calibri"/>
          <w:color w:val="222222"/>
          <w:sz w:val="21"/>
          <w:szCs w:val="21"/>
        </w:rPr>
        <w:t xml:space="preserve">This new course only works well if teacher-training colleges build close, lasting partnerships with schools — so that trainee teachers get real, guided classroom time across their whole training, not just one short placement at the end.</w:t>
      </w:r>
    </w:p>
    <w:p>
      <w:pPr>
        <w:spacing w:after="30" w:before="100"/>
      </w:pPr>
      <w:r>
        <w:rPr>
          <w:rFonts w:ascii="Calibri" w:cs="Calibri" w:eastAsia="Calibri" w:hAnsi="Calibri"/>
          <w:b/>
          <w:bCs/>
          <w:i/>
          <w:iCs/>
          <w:color w:val="9C7620"/>
          <w:sz w:val="18"/>
          <w:szCs w:val="18"/>
        </w:rPr>
        <w:t xml:space="preserve">Point 3 — Why this matters for Vikshit Bharat 2047</w:t>
      </w:r>
    </w:p>
    <w:p>
      <w:pPr>
        <w:spacing w:after="130" w:line="300"/>
      </w:pPr>
      <w:r>
        <w:rPr>
          <w:rFonts w:ascii="Calibri" w:cs="Calibri" w:eastAsia="Calibri" w:hAnsi="Calibri"/>
          <w:color w:val="222222"/>
          <w:sz w:val="21"/>
          <w:szCs w:val="21"/>
        </w:rPr>
        <w:t xml:space="preserve">A well-designed teacher-training programme is one of the fastest ways to turn India's education policy into real change inside the classroom.</w:t>
      </w:r>
    </w:p>
    <w:p>
      <w:pPr>
        <w:spacing w:after="30" w:before="100"/>
      </w:pPr>
      <w:r>
        <w:rPr>
          <w:rFonts w:ascii="Calibri" w:cs="Calibri" w:eastAsia="Calibri" w:hAnsi="Calibri"/>
          <w:b/>
          <w:bCs/>
          <w:i/>
          <w:iCs/>
          <w:color w:val="9C7620"/>
          <w:sz w:val="18"/>
          <w:szCs w:val="18"/>
        </w:rPr>
        <w:t xml:space="preserve">Point 4 — My recommendation</w:t>
      </w:r>
    </w:p>
    <w:p>
      <w:pPr>
        <w:spacing w:after="130" w:line="300"/>
      </w:pPr>
      <w:r>
        <w:rPr>
          <w:rFonts w:ascii="Calibri" w:cs="Calibri" w:eastAsia="Calibri" w:hAnsi="Calibri"/>
          <w:color w:val="222222"/>
          <w:sz w:val="21"/>
          <w:szCs w:val="21"/>
        </w:rPr>
        <w:t xml:space="preserve">I encourage every teacher-training college here to treat partner schools as long-term partners in training, not simply as a place to send students for a few weeks.</w:t>
      </w:r>
    </w:p>
    <w:p>
      <w:pPr>
        <w:spacing w:after="130" w:line="300"/>
      </w:pPr>
      <w:r>
        <w:rPr>
          <w:rFonts w:ascii="Calibri" w:cs="Calibri" w:eastAsia="Calibri" w:hAnsi="Calibri"/>
          <w:color w:val="222222"/>
          <w:sz w:val="21"/>
          <w:szCs w:val="21"/>
        </w:rPr>
        <w:t xml:space="preserve">Thank you, and I look forward to the discussions that will follow.</w:t>
      </w:r>
    </w:p>
    <w:sectPr>
      <w:headerReference w:type="default" r:id="rId7"/>
      <w:footerReference w:type="default" r:id="rId8"/>
      <w:pgSz w:w="11906" w:h="16838" w:orient="portrait"/>
      <w:pgMar w:top="900" w:right="1000" w:bottom="95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spacing w:after="15"/>
      <w:jc w:val="center"/>
    </w:pPr>
    <w:r>
      <w:rPr>
        <w:rFonts w:ascii="Calibri" w:cs="Calibri" w:eastAsia="Calibri" w:hAnsi="Calibri"/>
        <w:b/>
        <w:bCs/>
        <w:color w:val="0D1B3E"/>
        <w:sz w:val="14"/>
        <w:szCs w:val="14"/>
      </w:rPr>
      <w:t xml:space="preserve">Baikuntha College of Education  ·  International Seminar 2026</w:t>
    </w:r>
  </w:p>
  <w:p>
    <w:pPr>
      <w:spacing w:after="20"/>
      <w:jc w:val="center"/>
    </w:pPr>
    <w:r>
      <w:rPr>
        <w:rFonts w:ascii="Calibri" w:cs="Calibri" w:eastAsia="Calibri" w:hAnsi="Calibri"/>
        <w:i/>
        <w:iCs/>
        <w:color w:val="555555"/>
        <w:sz w:val="13"/>
        <w:szCs w:val="13"/>
      </w:rPr>
      <w:t xml:space="preserve">Organizing Partner: Onusandhanapp.com — powered by Topic Engine (www.topicengine.co.in)</w:t>
    </w:r>
  </w:p>
  <w:p>
    <w:pPr>
      <w:jc w:val="center"/>
    </w:pPr>
    <w:r>
      <w:rPr>
        <w:rFonts w:ascii="Calibri" w:cs="Calibri" w:eastAsia="Calibri" w:hAnsi="Calibri"/>
        <w:color w:val="555555"/>
        <w:sz w:val="14"/>
        <w:szCs w:val="14"/>
      </w:rPr>
      <w:t xml:space="preserve">Page </w:t>
    </w:r>
    <w:r>
      <w:rPr>
        <w:rFonts w:ascii="Calibri" w:cs="Calibri" w:eastAsia="Calibri" w:hAnsi="Calibri"/>
        <w:color w:val="555555"/>
        <w:sz w:val="14"/>
        <w:szCs w:val="14"/>
      </w:rPr>
      <w:fldChar w:fldCharType="begin"/>
      <w:instrText xml:space="preserve">PAGE</w:instrText>
      <w:fldChar w:fldCharType="separate"/>
      <w:fldChar w:fldCharType="end"/>
    </w:r>
    <w:r>
      <w:rPr>
        <w:rFonts w:ascii="Calibri" w:cs="Calibri" w:eastAsia="Calibri" w:hAnsi="Calibri"/>
        <w:color w:val="555555"/>
        <w:sz w:val="14"/>
        <w:szCs w:val="14"/>
      </w:rPr>
      <w:t xml:space="preserve"> of </w:t>
    </w:r>
    <w:r>
      <w:rPr>
        <w:rFonts w:ascii="Calibri" w:cs="Calibri" w:eastAsia="Calibri" w:hAnsi="Calibri"/>
        <w:color w:val="555555"/>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2"/>
      </w:pBdr>
      <w:jc w:val="right"/>
    </w:pPr>
    <w:r>
      <w:rPr>
        <w:rFonts w:ascii="Calibri" w:cs="Calibri" w:eastAsia="Calibri" w:hAnsi="Calibri"/>
        <w:color w:val="555555"/>
        <w:sz w:val="13"/>
        <w:szCs w:val="13"/>
      </w:rPr>
      <w:t xml:space="preserve">Baikuntha College of Education · International Seminar 2026 · Speech Script — Prof. (Dr.) Sushanta Kumar Roul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2026-08-26T09:50:02.410Z</dcterms:created>
  <dcterms:modified xsi:type="dcterms:W3CDTF">2026-08-26T09:50:02.410Z</dcterms:modified>
</cp:coreProperties>
</file>

<file path=docProps/custom.xml><?xml version="1.0" encoding="utf-8"?>
<Properties xmlns="http://schemas.openxmlformats.org/officeDocument/2006/custom-properties" xmlns:vt="http://schemas.openxmlformats.org/officeDocument/2006/docPropsVTypes"/>
</file>