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 w:before="60"/>
        <w:jc w:val="center"/>
      </w:pPr>
      <w:r>
        <w:rPr>
          <w:rFonts w:ascii="Calibri" w:cs="Calibri" w:eastAsia="Calibri" w:hAnsi="Calibri"/>
          <w:b/>
          <w:bCs/>
          <w:color w:val="9C7620"/>
          <w:sz w:val="17"/>
          <w:szCs w:val="17"/>
        </w:rPr>
        <w:t xml:space="preserve">IQAC · BAIKUNTHA COLLEGE OF EDUCATION</w:t>
      </w:r>
    </w:p>
    <w:p>
      <w:pPr>
        <w:spacing w:after="10" w:before="40"/>
        <w:jc w:val="center"/>
      </w:pPr>
      <w:r>
        <w:rPr>
          <w:rFonts w:ascii="Cambria" w:cs="Cambria" w:eastAsia="Cambria" w:hAnsi="Cambria"/>
          <w:b/>
          <w:bCs/>
          <w:color w:val="0D1B3E"/>
          <w:sz w:val="22"/>
          <w:szCs w:val="22"/>
        </w:rPr>
        <w:t xml:space="preserve">RESOURCE PERSON SPEECH SCRIPT</w:t>
      </w:r>
    </w:p>
    <w:p>
      <w:pPr>
        <w:spacing w:after="6" w:before="60"/>
        <w:jc w:val="center"/>
      </w:pPr>
      <w:r>
        <w:rPr>
          <w:rFonts w:ascii="Cambria" w:cs="Cambria" w:eastAsia="Cambria" w:hAnsi="Cambria"/>
          <w:b/>
          <w:bCs/>
          <w:color w:val="9C7620"/>
          <w:sz w:val="32"/>
          <w:szCs w:val="32"/>
        </w:rPr>
        <w:t xml:space="preserve">Dr. Debabrata Das</w:t>
      </w:r>
    </w:p>
    <w:p>
      <w:pPr>
        <w:spacing w:after="6"/>
        <w:jc w:val="center"/>
      </w:pPr>
      <w:r>
        <w:rPr>
          <w:rFonts w:ascii="Calibri" w:cs="Calibri" w:eastAsia="Calibri" w:hAnsi="Calibri"/>
          <w:color w:val="222222"/>
          <w:sz w:val="19"/>
          <w:szCs w:val="19"/>
        </w:rPr>
        <w:t xml:space="preserve">Assistant Professor, Department of English, Rabindra Bharati University</w:t>
      </w:r>
    </w:p>
    <w:p>
      <w:pPr>
        <w:spacing w:after="160"/>
        <w:jc w:val="center"/>
      </w:pPr>
      <w:r>
        <w:rPr>
          <w:rFonts w:ascii="Calibri" w:cs="Calibri" w:eastAsia="Calibri" w:hAnsi="Calibri"/>
          <w:color w:val="555555"/>
          <w:sz w:val="15"/>
          <w:szCs w:val="15"/>
        </w:rPr>
        <w:t xml:space="preserve">International Seminar 2026 · 28 August 2026 · Multipurpose Hall, Baikuntha College of Education · Hybrid Mode</w:t>
      </w:r>
    </w:p>
    <w:tbl>
      <w:tblPr>
        <w:tblW w:type="dxa" w:w="9800"/>
        <w:tblBorders>
          <w:top w:val="single" w:color="C8972A" w:sz="8"/>
          <w:left w:val="single" w:color="C8972A" w:sz="8"/>
          <w:bottom w:val="single" w:color="C8972A" w:sz="8"/>
          <w:right w:val="single" w:color="C8972A" w:sz="8"/>
          <w:insideH w:val="single" w:color="E4D9BE" w:sz="2"/>
          <w:insideV w:val="single" w:color="E4D9BE" w:sz="2"/>
        </w:tblBorders>
      </w:tblPr>
      <w:tblGrid>
        <w:gridCol w:w="2700"/>
        <w:gridCol w:w="7100"/>
      </w:tblGrid>
      <w:tr>
        <w:tc>
          <w:tcPr>
            <w:tcW w:type="dxa" w:w="2700"/>
            <w:shd w:fill="FFFFFF"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Session</w:t>
            </w:r>
          </w:p>
        </w:tc>
        <w:tc>
          <w:tcPr>
            <w:tcW w:type="dxa" w:w="71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Invited Address II</w:t>
            </w:r>
          </w:p>
        </w:tc>
      </w:tr>
      <w:tr>
        <w:tc>
          <w:tcPr>
            <w:tcW w:type="dxa" w:w="2700"/>
            <w:shd w:fill="F7F1E3"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Scheduled Slot</w:t>
            </w:r>
          </w:p>
        </w:tc>
        <w:tc>
          <w:tcPr>
            <w:tcW w:type="dxa" w:w="7100"/>
            <w:shd w:fill="F7F1E3"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12:20 – 12:35 PM</w:t>
            </w:r>
          </w:p>
        </w:tc>
      </w:tr>
      <w:tr>
        <w:tc>
          <w:tcPr>
            <w:tcW w:type="dxa" w:w="2700"/>
            <w:shd w:fill="FFFFFF"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Allotted Duration</w:t>
            </w:r>
          </w:p>
        </w:tc>
        <w:tc>
          <w:tcPr>
            <w:tcW w:type="dxa" w:w="71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15 minutes</w:t>
            </w:r>
          </w:p>
        </w:tc>
      </w:tr>
      <w:tr>
        <w:tc>
          <w:tcPr>
            <w:tcW w:type="dxa" w:w="2700"/>
            <w:shd w:fill="F7F1E3"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Suggested Length</w:t>
            </w:r>
          </w:p>
        </w:tc>
        <w:tc>
          <w:tcPr>
            <w:tcW w:type="dxa" w:w="7100"/>
            <w:shd w:fill="F7F1E3"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Up to ~1500 words (≈110–130 words/minute)</w:t>
            </w:r>
          </w:p>
        </w:tc>
      </w:tr>
      <w:tr>
        <w:tc>
          <w:tcPr>
            <w:tcW w:type="dxa" w:w="2700"/>
            <w:shd w:fill="FFFFFF"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Anchor's Introduction Cue</w:t>
            </w:r>
          </w:p>
        </w:tc>
        <w:tc>
          <w:tcPr>
            <w:tcW w:type="dxa" w:w="71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“We now invite Dr. Debabrata Das, Assistant Professor, Department of English, Rabindra Bharati University, to deliver Invited Address II. Sir/Madam, the floor is yours.”</w:t>
            </w:r>
          </w:p>
        </w:tc>
      </w:tr>
      <w:tr>
        <w:tc>
          <w:tcPr>
            <w:tcW w:type="dxa" w:w="2700"/>
            <w:shd w:fill="F7F1E3"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Anchor's Closing Line</w:t>
            </w:r>
          </w:p>
        </w:tc>
        <w:tc>
          <w:tcPr>
            <w:tcW w:type="dxa" w:w="7100"/>
            <w:shd w:fill="F7F1E3"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“Thank you, Sir, for those valuable perspectives.”</w:t>
            </w:r>
          </w:p>
        </w:tc>
      </w:tr>
    </w:tbl>
    <w:p>
      <w:pPr>
        <w:spacing w:after="140"/>
      </w:pPr>
    </w:p>
    <w:p>
      <w:pPr>
        <w:pStyle w:val="Heading1"/>
        <w:pBdr>
          <w:bottom w:val="single" w:color="C8972A" w:sz="8" w:space="6"/>
        </w:pBdr>
        <w:spacing w:after="100" w:before="300"/>
      </w:pPr>
      <w:r>
        <w:rPr>
          <w:rFonts w:ascii="Cambria" w:cs="Cambria" w:eastAsia="Cambria" w:hAnsi="Cambria"/>
          <w:b/>
          <w:bCs/>
          <w:color w:val="0D1B3E"/>
          <w:sz w:val="27"/>
          <w:szCs w:val="27"/>
        </w:rPr>
        <w:t xml:space="preserve">Timing &amp; Pacing Guide</w:t>
      </w:r>
    </w:p>
    <w:p>
      <w:pPr>
        <w:spacing w:after="120" w:line="250"/>
      </w:pPr>
      <w:r>
        <w:rPr>
          <w:rFonts w:ascii="Calibri" w:cs="Calibri" w:eastAsia="Calibri" w:hAnsi="Calibri"/>
          <w:i/>
          <w:iCs/>
          <w:color w:val="555555"/>
          <w:sz w:val="17"/>
          <w:szCs w:val="17"/>
        </w:rPr>
        <w:t xml:space="preserve">Clock times below are calculated from the scheduled start of this slot and are a pacing guide, not a rigid script — adjust live if the programme is running early or late, but keep within the allotted duration so the next speaker is not delayed.</w:t>
      </w:r>
    </w:p>
    <w:tbl>
      <w:tblPr>
        <w:tblW w:type="dxa" w:w="9800"/>
        <w:tblBorders>
          <w:top w:val="single" w:color="auto" w:sz="4"/>
          <w:left w:val="single" w:color="auto" w:sz="4"/>
          <w:bottom w:val="single" w:color="auto" w:sz="4"/>
          <w:right w:val="single" w:color="auto" w:sz="4"/>
          <w:insideH w:val="single" w:color="auto" w:sz="4"/>
          <w:insideV w:val="single" w:color="auto" w:sz="4"/>
        </w:tblBorders>
      </w:tblPr>
      <w:tblGrid>
        <w:gridCol w:w="2600"/>
        <w:gridCol w:w="5400"/>
        <w:gridCol w:w="1800"/>
      </w:tblGrid>
      <w:tr>
        <w:trPr>
          <w:tblHeader/>
        </w:trPr>
        <w:tc>
          <w:tcPr>
            <w:tcW w:type="dxa" w:w="2600"/>
            <w:shd w:fill="0D1B3E" w:color="auto" w:val="clear"/>
            <w:tcMar>
              <w:top w:type="dxa" w:w="70"/>
              <w:left w:type="dxa" w:w="100"/>
              <w:bottom w:type="dxa" w:w="70"/>
              <w:right w:type="dxa" w:w="100"/>
            </w:tcMar>
            <w:vAlign w:val="center"/>
          </w:tcPr>
          <w:p>
            <w:r>
              <w:rPr>
                <w:rFonts w:ascii="Calibri" w:cs="Calibri" w:eastAsia="Calibri" w:hAnsi="Calibri"/>
                <w:b/>
                <w:bCs/>
                <w:color w:val="FFFFFF"/>
                <w:sz w:val="17"/>
                <w:szCs w:val="17"/>
              </w:rPr>
              <w:t xml:space="preserve">Clock Time</w:t>
            </w:r>
          </w:p>
        </w:tc>
        <w:tc>
          <w:tcPr>
            <w:tcW w:type="dxa" w:w="5400"/>
            <w:shd w:fill="0D1B3E" w:color="auto" w:val="clear"/>
            <w:tcMar>
              <w:top w:type="dxa" w:w="70"/>
              <w:left w:type="dxa" w:w="100"/>
              <w:bottom w:type="dxa" w:w="70"/>
              <w:right w:type="dxa" w:w="100"/>
            </w:tcMar>
            <w:vAlign w:val="center"/>
          </w:tcPr>
          <w:p>
            <w:r>
              <w:rPr>
                <w:rFonts w:ascii="Calibri" w:cs="Calibri" w:eastAsia="Calibri" w:hAnsi="Calibri"/>
                <w:b/>
                <w:bCs/>
                <w:color w:val="FFFFFF"/>
                <w:sz w:val="17"/>
                <w:szCs w:val="17"/>
              </w:rPr>
              <w:t xml:space="preserve">What Happens</w:t>
            </w:r>
          </w:p>
        </w:tc>
        <w:tc>
          <w:tcPr>
            <w:tcW w:type="dxa" w:w="1800"/>
            <w:shd w:fill="0D1B3E" w:color="auto" w:val="clear"/>
            <w:tcMar>
              <w:top w:type="dxa" w:w="70"/>
              <w:left w:type="dxa" w:w="100"/>
              <w:bottom w:type="dxa" w:w="70"/>
              <w:right w:type="dxa" w:w="100"/>
            </w:tcMar>
            <w:vAlign w:val="center"/>
          </w:tcPr>
          <w:p>
            <w:r>
              <w:rPr>
                <w:rFonts w:ascii="Calibri" w:cs="Calibri" w:eastAsia="Calibri" w:hAnsi="Calibri"/>
                <w:b/>
                <w:bCs/>
                <w:color w:val="FFFFFF"/>
                <w:sz w:val="17"/>
                <w:szCs w:val="17"/>
              </w:rPr>
              <w:t xml:space="preserve">Duration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12:20 – 12:21 PM</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Opening &amp; framing remarks</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1 min</w:t>
            </w:r>
          </w:p>
        </w:tc>
      </w:tr>
      <w:tr>
        <w:tc>
          <w:tcPr>
            <w:tcW w:type="dxa" w:w="2600"/>
            <w:shd w:fill="F7F1E3"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12:21 – 12:24 PM</w:t>
            </w:r>
          </w:p>
        </w:tc>
        <w:tc>
          <w:tcPr>
            <w:tcW w:type="dxa" w:w="54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Point 1 — My main point</w:t>
            </w:r>
          </w:p>
        </w:tc>
        <w:tc>
          <w:tcPr>
            <w:tcW w:type="dxa" w:w="18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3 min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12:24 – 12:27 PM</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Point 2 — What this means in practice</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3 min</w:t>
            </w:r>
          </w:p>
        </w:tc>
      </w:tr>
      <w:tr>
        <w:tc>
          <w:tcPr>
            <w:tcW w:type="dxa" w:w="2600"/>
            <w:shd w:fill="F7F1E3"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12:27 – 12:30 PM</w:t>
            </w:r>
          </w:p>
        </w:tc>
        <w:tc>
          <w:tcPr>
            <w:tcW w:type="dxa" w:w="54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Point 3 — Why this matters for Vikshit Bharat 2047</w:t>
            </w:r>
          </w:p>
        </w:tc>
        <w:tc>
          <w:tcPr>
            <w:tcW w:type="dxa" w:w="18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3 min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12:30 – 12:33 PM</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Point 4 — My recommendation</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3 min</w:t>
            </w:r>
          </w:p>
        </w:tc>
      </w:tr>
      <w:tr>
        <w:tc>
          <w:tcPr>
            <w:tcW w:type="dxa" w:w="2600"/>
            <w:shd w:fill="F7F1E3"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12:33 – 12:35 PM</w:t>
            </w:r>
          </w:p>
        </w:tc>
        <w:tc>
          <w:tcPr>
            <w:tcW w:type="dxa" w:w="54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Closing remarks</w:t>
            </w:r>
          </w:p>
        </w:tc>
        <w:tc>
          <w:tcPr>
            <w:tcW w:type="dxa" w:w="18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2 min</w:t>
            </w:r>
          </w:p>
        </w:tc>
      </w:tr>
    </w:tbl>
    <w:p>
      <w:pPr>
        <w:spacing w:after="160"/>
      </w:pPr>
    </w:p>
    <w:p>
      <w:pPr>
        <w:pStyle w:val="Heading1"/>
        <w:pBdr>
          <w:bottom w:val="single" w:color="C8972A" w:sz="8" w:space="6"/>
        </w:pBdr>
        <w:spacing w:after="100" w:before="300"/>
      </w:pPr>
      <w:r>
        <w:rPr>
          <w:rFonts w:ascii="Cambria" w:cs="Cambria" w:eastAsia="Cambria" w:hAnsi="Cambria"/>
          <w:b/>
          <w:bCs/>
          <w:color w:val="0D1B3E"/>
          <w:sz w:val="27"/>
          <w:szCs w:val="27"/>
        </w:rPr>
        <w:t xml:space="preserve">Speech Script</w:t>
      </w:r>
    </w:p>
    <w:p>
      <w:pPr>
        <w:spacing w:after="120" w:line="250"/>
      </w:pPr>
      <w:r>
        <w:rPr>
          <w:rFonts w:ascii="Calibri" w:cs="Calibri" w:eastAsia="Calibri" w:hAnsi="Calibri"/>
          <w:i/>
          <w:iCs/>
          <w:color w:val="555555"/>
          <w:sz w:val="17"/>
          <w:szCs w:val="17"/>
        </w:rPr>
        <w:t xml:space="preserve">This is a general, illustrative draft on the seminar's theme — not based on this resource person's actual unpublished research, personal data, or institutional findings. Please review, personalize with your own examples and knowledge, and verify every fact before speaking, especially in front of two Hon'ble Ministers, an international audience, and a livestream.</w:t>
      </w:r>
    </w:p>
    <w:p>
      <w:pPr>
        <w:spacing w:after="130" w:line="300"/>
      </w:pPr>
      <w:r>
        <w:rPr>
          <w:rFonts w:ascii="Calibri" w:cs="Calibri" w:eastAsia="Calibri" w:hAnsi="Calibri"/>
          <w:color w:val="222222"/>
          <w:sz w:val="21"/>
          <w:szCs w:val="21"/>
        </w:rPr>
        <w:t xml:space="preserve">Respected dignitaries, fellow resource persons, and participants — thank you for the opportunity to address this distinguished gathering.</w:t>
      </w:r>
    </w:p>
    <w:p>
      <w:pPr>
        <w:spacing w:after="130" w:line="300"/>
      </w:pPr>
      <w:r>
        <w:rPr>
          <w:rFonts w:ascii="Calibri" w:cs="Calibri" w:eastAsia="Calibri" w:hAnsi="Calibri"/>
          <w:color w:val="222222"/>
          <w:sz w:val="21"/>
          <w:szCs w:val="21"/>
        </w:rPr>
        <w:t xml:space="preserve">Building on what has already been said this morning, I want to speak about one specific part of preparing teachers for India's classrooms.</w:t>
      </w:r>
    </w:p>
    <w:p>
      <w:pPr>
        <w:spacing w:after="30" w:before="100"/>
      </w:pPr>
      <w:r>
        <w:rPr>
          <w:rFonts w:ascii="Calibri" w:cs="Calibri" w:eastAsia="Calibri" w:hAnsi="Calibri"/>
          <w:b/>
          <w:bCs/>
          <w:i/>
          <w:iCs/>
          <w:color w:val="9C7620"/>
          <w:sz w:val="18"/>
          <w:szCs w:val="18"/>
        </w:rPr>
        <w:t xml:space="preserve">Point 1 — My main point</w:t>
      </w:r>
    </w:p>
    <w:p>
      <w:pPr>
        <w:spacing w:after="130" w:line="300"/>
      </w:pPr>
      <w:r>
        <w:rPr>
          <w:rFonts w:ascii="Calibri" w:cs="Calibri" w:eastAsia="Calibri" w:hAnsi="Calibri"/>
          <w:color w:val="222222"/>
          <w:sz w:val="21"/>
          <w:szCs w:val="21"/>
        </w:rPr>
        <w:t xml:space="preserve">India's classrooms are truly diverse — different languages, cultures, and family backgrounds sit side by side in the same room. Teacher training must prepare teachers for this reality, not ignore it.</w:t>
      </w:r>
    </w:p>
    <w:p>
      <w:pPr>
        <w:spacing w:after="30" w:before="100"/>
      </w:pPr>
      <w:r>
        <w:rPr>
          <w:rFonts w:ascii="Calibri" w:cs="Calibri" w:eastAsia="Calibri" w:hAnsi="Calibri"/>
          <w:b/>
          <w:bCs/>
          <w:i/>
          <w:iCs/>
          <w:color w:val="9C7620"/>
          <w:sz w:val="18"/>
          <w:szCs w:val="18"/>
        </w:rPr>
        <w:t xml:space="preserve">Point 2 — What this means in practice</w:t>
      </w:r>
    </w:p>
    <w:p>
      <w:pPr>
        <w:spacing w:after="130" w:line="300"/>
      </w:pPr>
      <w:r>
        <w:rPr>
          <w:rFonts w:ascii="Calibri" w:cs="Calibri" w:eastAsia="Calibri" w:hAnsi="Calibri"/>
          <w:color w:val="222222"/>
          <w:sz w:val="21"/>
          <w:szCs w:val="21"/>
        </w:rPr>
        <w:t xml:space="preserve">This means training teachers to notice different learning needs, to teach well in multilingual classrooms, and to understand how a child's background can shape their experience of school.</w:t>
      </w:r>
    </w:p>
    <w:p>
      <w:pPr>
        <w:spacing w:after="30" w:before="100"/>
      </w:pPr>
      <w:r>
        <w:rPr>
          <w:rFonts w:ascii="Calibri" w:cs="Calibri" w:eastAsia="Calibri" w:hAnsi="Calibri"/>
          <w:b/>
          <w:bCs/>
          <w:i/>
          <w:iCs/>
          <w:color w:val="9C7620"/>
          <w:sz w:val="18"/>
          <w:szCs w:val="18"/>
        </w:rPr>
        <w:t xml:space="preserve">Point 3 — Why this matters for Vikshit Bharat 2047</w:t>
      </w:r>
    </w:p>
    <w:p>
      <w:pPr>
        <w:spacing w:after="130" w:line="300"/>
      </w:pPr>
      <w:r>
        <w:rPr>
          <w:rFonts w:ascii="Calibri" w:cs="Calibri" w:eastAsia="Calibri" w:hAnsi="Calibri"/>
          <w:color w:val="222222"/>
          <w:sz w:val="21"/>
          <w:szCs w:val="21"/>
        </w:rPr>
        <w:t xml:space="preserve">A developed India cannot be built if some children are left behind in the classroom. Inclusive teacher training is what turns national growth into real, shared progress for every family.</w:t>
      </w:r>
    </w:p>
    <w:p>
      <w:pPr>
        <w:spacing w:after="30" w:before="100"/>
      </w:pPr>
      <w:r>
        <w:rPr>
          <w:rFonts w:ascii="Calibri" w:cs="Calibri" w:eastAsia="Calibri" w:hAnsi="Calibri"/>
          <w:b/>
          <w:bCs/>
          <w:i/>
          <w:iCs/>
          <w:color w:val="9C7620"/>
          <w:sz w:val="18"/>
          <w:szCs w:val="18"/>
        </w:rPr>
        <w:t xml:space="preserve">Point 4 — My recommendation</w:t>
      </w:r>
    </w:p>
    <w:p>
      <w:pPr>
        <w:spacing w:after="130" w:line="300"/>
      </w:pPr>
      <w:r>
        <w:rPr>
          <w:rFonts w:ascii="Calibri" w:cs="Calibri" w:eastAsia="Calibri" w:hAnsi="Calibri"/>
          <w:color w:val="222222"/>
          <w:sz w:val="21"/>
          <w:szCs w:val="21"/>
        </w:rPr>
        <w:t xml:space="preserve">Inclusive teaching methods should be a core, tested part of every teacher-training course in India — not an optional extra.</w:t>
      </w:r>
    </w:p>
    <w:p>
      <w:pPr>
        <w:spacing w:after="130" w:line="300"/>
      </w:pPr>
      <w:r>
        <w:rPr>
          <w:rFonts w:ascii="Calibri" w:cs="Calibri" w:eastAsia="Calibri" w:hAnsi="Calibri"/>
          <w:color w:val="222222"/>
          <w:sz w:val="21"/>
          <w:szCs w:val="21"/>
        </w:rPr>
        <w:t xml:space="preserve">Thank you, and I look forward to continuing this conversation with all of you through the day.</w:t>
      </w:r>
    </w:p>
    <w:sectPr>
      <w:headerReference w:type="default" r:id="rId7"/>
      <w:footerReference w:type="default" r:id="rId8"/>
      <w:pgSz w:w="11906" w:h="16838" w:orient="portrait"/>
      <w:pgMar w:top="900" w:right="1000" w:bottom="95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after="15"/>
      <w:jc w:val="center"/>
    </w:pPr>
    <w:r>
      <w:rPr>
        <w:rFonts w:ascii="Calibri" w:cs="Calibri" w:eastAsia="Calibri" w:hAnsi="Calibri"/>
        <w:b/>
        <w:bCs/>
        <w:color w:val="0D1B3E"/>
        <w:sz w:val="14"/>
        <w:szCs w:val="14"/>
      </w:rPr>
      <w:t xml:space="preserve">Baikuntha College of Education  ·  International Seminar 2026</w:t>
    </w:r>
  </w:p>
  <w:p>
    <w:pPr>
      <w:spacing w:after="20"/>
      <w:jc w:val="center"/>
    </w:pPr>
    <w:r>
      <w:rPr>
        <w:rFonts w:ascii="Calibri" w:cs="Calibri" w:eastAsia="Calibri" w:hAnsi="Calibri"/>
        <w:i/>
        <w:iCs/>
        <w:color w:val="555555"/>
        <w:sz w:val="13"/>
        <w:szCs w:val="13"/>
      </w:rPr>
      <w:t xml:space="preserve">Organizing Partner: Onusandhanapp.com — powered by Topic Engine (www.topicengine.co.in)</w:t>
    </w:r>
  </w:p>
  <w:p>
    <w:pPr>
      <w:jc w:val="center"/>
    </w:pPr>
    <w:r>
      <w:rPr>
        <w:rFonts w:ascii="Calibri" w:cs="Calibri" w:eastAsia="Calibri" w:hAnsi="Calibri"/>
        <w:color w:val="555555"/>
        <w:sz w:val="14"/>
        <w:szCs w:val="14"/>
      </w:rPr>
      <w:t xml:space="preserve">Page </w:t>
    </w:r>
    <w:r>
      <w:rPr>
        <w:rFonts w:ascii="Calibri" w:cs="Calibri" w:eastAsia="Calibri" w:hAnsi="Calibri"/>
        <w:color w:val="555555"/>
        <w:sz w:val="14"/>
        <w:szCs w:val="14"/>
      </w:rPr>
      <w:fldChar w:fldCharType="begin"/>
      <w:instrText xml:space="preserve">PAGE</w:instrText>
      <w:fldChar w:fldCharType="separate"/>
      <w:fldChar w:fldCharType="end"/>
    </w:r>
    <w:r>
      <w:rPr>
        <w:rFonts w:ascii="Calibri" w:cs="Calibri" w:eastAsia="Calibri" w:hAnsi="Calibri"/>
        <w:color w:val="555555"/>
        <w:sz w:val="14"/>
        <w:szCs w:val="14"/>
      </w:rPr>
      <w:t xml:space="preserve"> of </w:t>
    </w:r>
    <w:r>
      <w:rPr>
        <w:rFonts w:ascii="Calibri" w:cs="Calibri" w:eastAsia="Calibri" w:hAnsi="Calibri"/>
        <w:color w:val="555555"/>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2"/>
      </w:pBdr>
      <w:jc w:val="right"/>
    </w:pPr>
    <w:r>
      <w:rPr>
        <w:rFonts w:ascii="Calibri" w:cs="Calibri" w:eastAsia="Calibri" w:hAnsi="Calibri"/>
        <w:color w:val="555555"/>
        <w:sz w:val="13"/>
        <w:szCs w:val="13"/>
      </w:rPr>
      <w:t xml:space="preserve">Baikuntha College of Education · International Seminar 2026 · Speech Script — Dr. Debabrata Das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2026-08-26T09:50:02.372Z</dcterms:created>
  <dcterms:modified xsi:type="dcterms:W3CDTF">2026-08-26T09:50:02.372Z</dcterms:modified>
</cp:coreProperties>
</file>

<file path=docProps/custom.xml><?xml version="1.0" encoding="utf-8"?>
<Properties xmlns="http://schemas.openxmlformats.org/officeDocument/2006/custom-properties" xmlns:vt="http://schemas.openxmlformats.org/officeDocument/2006/docPropsVTypes"/>
</file>