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 w:before="60"/>
        <w:jc w:val="center"/>
      </w:pPr>
      <w:r>
        <w:rPr>
          <w:rFonts w:ascii="Calibri" w:cs="Calibri" w:eastAsia="Calibri" w:hAnsi="Calibri"/>
          <w:b/>
          <w:bCs/>
          <w:color w:val="9C7620"/>
          <w:sz w:val="17"/>
          <w:szCs w:val="17"/>
        </w:rPr>
        <w:t xml:space="preserve">IQAC · BAIKUNTHA COLLEGE OF EDUCATION</w:t>
      </w:r>
    </w:p>
    <w:p>
      <w:pPr>
        <w:spacing w:after="10" w:before="40"/>
        <w:jc w:val="center"/>
      </w:pPr>
      <w:r>
        <w:rPr>
          <w:rFonts w:ascii="Cambria" w:cs="Cambria" w:eastAsia="Cambria" w:hAnsi="Cambria"/>
          <w:b/>
          <w:bCs/>
          <w:color w:val="0D1B3E"/>
          <w:sz w:val="22"/>
          <w:szCs w:val="22"/>
        </w:rPr>
        <w:t xml:space="preserve">RESOURCE PERSON SPEECH SCRIPT</w:t>
      </w:r>
    </w:p>
    <w:p>
      <w:pPr>
        <w:spacing w:after="6" w:before="60"/>
        <w:jc w:val="center"/>
      </w:pPr>
      <w:r>
        <w:rPr>
          <w:rFonts w:ascii="Cambria" w:cs="Cambria" w:eastAsia="Cambria" w:hAnsi="Cambria"/>
          <w:b/>
          <w:bCs/>
          <w:color w:val="9C7620"/>
          <w:sz w:val="32"/>
          <w:szCs w:val="32"/>
        </w:rPr>
        <w:t xml:space="preserve">Dr. Pradip Chandra Das</w:t>
      </w:r>
    </w:p>
    <w:p>
      <w:pPr>
        <w:spacing w:after="6"/>
        <w:jc w:val="center"/>
      </w:pPr>
      <w:r>
        <w:rPr>
          <w:rFonts w:ascii="Calibri" w:cs="Calibri" w:eastAsia="Calibri" w:hAnsi="Calibri"/>
          <w:color w:val="222222"/>
          <w:sz w:val="19"/>
          <w:szCs w:val="19"/>
        </w:rPr>
        <w:t xml:space="preserve">Assistant Professor, Department of Sanskrit, Rabindra Bharati University</w:t>
      </w:r>
    </w:p>
    <w:p>
      <w:pPr>
        <w:spacing w:after="160"/>
        <w:jc w:val="center"/>
      </w:pPr>
      <w:r>
        <w:rPr>
          <w:rFonts w:ascii="Calibri" w:cs="Calibri" w:eastAsia="Calibri" w:hAnsi="Calibri"/>
          <w:color w:val="555555"/>
          <w:sz w:val="15"/>
          <w:szCs w:val="15"/>
        </w:rPr>
        <w:t xml:space="preserve">International Seminar 2026 · 28 August 2026 · Multipurpose Hall, Baikuntha College of Education · Hybrid Mode</w:t>
      </w:r>
    </w:p>
    <w:tbl>
      <w:tblPr>
        <w:tblW w:type="dxa" w:w="9800"/>
        <w:tblBorders>
          <w:top w:val="single" w:color="C8972A" w:sz="8"/>
          <w:left w:val="single" w:color="C8972A" w:sz="8"/>
          <w:bottom w:val="single" w:color="C8972A" w:sz="8"/>
          <w:right w:val="single" w:color="C8972A" w:sz="8"/>
          <w:insideH w:val="single" w:color="E4D9BE" w:sz="2"/>
          <w:insideV w:val="single" w:color="E4D9BE" w:sz="2"/>
        </w:tblBorders>
      </w:tblPr>
      <w:tblGrid>
        <w:gridCol w:w="2700"/>
        <w:gridCol w:w="7100"/>
      </w:tblGrid>
      <w:tr>
        <w:tc>
          <w:tcPr>
            <w:tcW w:type="dxa" w:w="2700"/>
            <w:shd w:fill="FFFFFF" w:color="auto" w:val="clear"/>
            <w:tcMar>
              <w:top w:type="dxa" w:w="70"/>
              <w:left w:type="dxa" w:w="130"/>
              <w:bottom w:type="dxa" w:w="70"/>
              <w:right w:type="dxa" w:w="80"/>
            </w:tcMar>
            <w:vAlign w:val="center"/>
          </w:tcPr>
          <w:p>
            <w:r>
              <w:rPr>
                <w:rFonts w:ascii="Calibri" w:cs="Calibri" w:eastAsia="Calibri" w:hAnsi="Calibri"/>
                <w:b/>
                <w:bCs/>
                <w:color w:val="0D1B3E"/>
                <w:sz w:val="18"/>
                <w:szCs w:val="18"/>
              </w:rPr>
              <w:t xml:space="preserve">Session</w:t>
            </w:r>
          </w:p>
        </w:tc>
        <w:tc>
          <w:tcPr>
            <w:tcW w:type="dxa" w:w="7100"/>
            <w:shd w:fill="FFFFFF" w:color="auto" w:val="clear"/>
            <w:tcMar>
              <w:top w:type="dxa" w:w="70"/>
              <w:left w:type="dxa" w:w="100"/>
              <w:bottom w:type="dxa" w:w="70"/>
              <w:right w:type="dxa" w:w="130"/>
            </w:tcMar>
            <w:vAlign w:val="center"/>
          </w:tcPr>
          <w:p>
            <w:r>
              <w:rPr>
                <w:rFonts w:ascii="Calibri" w:cs="Calibri" w:eastAsia="Calibri" w:hAnsi="Calibri"/>
                <w:i/>
                <w:iCs/>
                <w:color w:val="222222"/>
                <w:sz w:val="18"/>
                <w:szCs w:val="18"/>
              </w:rPr>
              <w:t xml:space="preserve">Invited Address I</w:t>
            </w:r>
          </w:p>
        </w:tc>
      </w:tr>
      <w:tr>
        <w:tc>
          <w:tcPr>
            <w:tcW w:type="dxa" w:w="2700"/>
            <w:shd w:fill="F7F1E3" w:color="auto" w:val="clear"/>
            <w:tcMar>
              <w:top w:type="dxa" w:w="70"/>
              <w:left w:type="dxa" w:w="130"/>
              <w:bottom w:type="dxa" w:w="70"/>
              <w:right w:type="dxa" w:w="80"/>
            </w:tcMar>
            <w:vAlign w:val="center"/>
          </w:tcPr>
          <w:p>
            <w:r>
              <w:rPr>
                <w:rFonts w:ascii="Calibri" w:cs="Calibri" w:eastAsia="Calibri" w:hAnsi="Calibri"/>
                <w:b/>
                <w:bCs/>
                <w:color w:val="0D1B3E"/>
                <w:sz w:val="18"/>
                <w:szCs w:val="18"/>
              </w:rPr>
              <w:t xml:space="preserve">Scheduled Slot</w:t>
            </w:r>
          </w:p>
        </w:tc>
        <w:tc>
          <w:tcPr>
            <w:tcW w:type="dxa" w:w="7100"/>
            <w:shd w:fill="F7F1E3" w:color="auto" w:val="clear"/>
            <w:tcMar>
              <w:top w:type="dxa" w:w="70"/>
              <w:left w:type="dxa" w:w="100"/>
              <w:bottom w:type="dxa" w:w="70"/>
              <w:right w:type="dxa" w:w="130"/>
            </w:tcMar>
            <w:vAlign w:val="center"/>
          </w:tcPr>
          <w:p>
            <w:r>
              <w:rPr>
                <w:rFonts w:ascii="Calibri" w:cs="Calibri" w:eastAsia="Calibri" w:hAnsi="Calibri"/>
                <w:i/>
                <w:iCs/>
                <w:color w:val="222222"/>
                <w:sz w:val="18"/>
                <w:szCs w:val="18"/>
              </w:rPr>
              <w:t xml:space="preserve">12:05 – 12:20 PM</w:t>
            </w:r>
          </w:p>
        </w:tc>
      </w:tr>
      <w:tr>
        <w:tc>
          <w:tcPr>
            <w:tcW w:type="dxa" w:w="2700"/>
            <w:shd w:fill="FFFFFF" w:color="auto" w:val="clear"/>
            <w:tcMar>
              <w:top w:type="dxa" w:w="70"/>
              <w:left w:type="dxa" w:w="130"/>
              <w:bottom w:type="dxa" w:w="70"/>
              <w:right w:type="dxa" w:w="80"/>
            </w:tcMar>
            <w:vAlign w:val="center"/>
          </w:tcPr>
          <w:p>
            <w:r>
              <w:rPr>
                <w:rFonts w:ascii="Calibri" w:cs="Calibri" w:eastAsia="Calibri" w:hAnsi="Calibri"/>
                <w:b/>
                <w:bCs/>
                <w:color w:val="0D1B3E"/>
                <w:sz w:val="18"/>
                <w:szCs w:val="18"/>
              </w:rPr>
              <w:t xml:space="preserve">Allotted Duration</w:t>
            </w:r>
          </w:p>
        </w:tc>
        <w:tc>
          <w:tcPr>
            <w:tcW w:type="dxa" w:w="7100"/>
            <w:shd w:fill="FFFFFF" w:color="auto" w:val="clear"/>
            <w:tcMar>
              <w:top w:type="dxa" w:w="70"/>
              <w:left w:type="dxa" w:w="100"/>
              <w:bottom w:type="dxa" w:w="70"/>
              <w:right w:type="dxa" w:w="130"/>
            </w:tcMar>
            <w:vAlign w:val="center"/>
          </w:tcPr>
          <w:p>
            <w:r>
              <w:rPr>
                <w:rFonts w:ascii="Calibri" w:cs="Calibri" w:eastAsia="Calibri" w:hAnsi="Calibri"/>
                <w:i/>
                <w:iCs/>
                <w:color w:val="222222"/>
                <w:sz w:val="18"/>
                <w:szCs w:val="18"/>
              </w:rPr>
              <w:t xml:space="preserve">15 minutes</w:t>
            </w:r>
          </w:p>
        </w:tc>
      </w:tr>
      <w:tr>
        <w:tc>
          <w:tcPr>
            <w:tcW w:type="dxa" w:w="2700"/>
            <w:shd w:fill="F7F1E3" w:color="auto" w:val="clear"/>
            <w:tcMar>
              <w:top w:type="dxa" w:w="70"/>
              <w:left w:type="dxa" w:w="130"/>
              <w:bottom w:type="dxa" w:w="70"/>
              <w:right w:type="dxa" w:w="80"/>
            </w:tcMar>
            <w:vAlign w:val="center"/>
          </w:tcPr>
          <w:p>
            <w:r>
              <w:rPr>
                <w:rFonts w:ascii="Calibri" w:cs="Calibri" w:eastAsia="Calibri" w:hAnsi="Calibri"/>
                <w:b/>
                <w:bCs/>
                <w:color w:val="0D1B3E"/>
                <w:sz w:val="18"/>
                <w:szCs w:val="18"/>
              </w:rPr>
              <w:t xml:space="preserve">Suggested Length</w:t>
            </w:r>
          </w:p>
        </w:tc>
        <w:tc>
          <w:tcPr>
            <w:tcW w:type="dxa" w:w="7100"/>
            <w:shd w:fill="F7F1E3" w:color="auto" w:val="clear"/>
            <w:tcMar>
              <w:top w:type="dxa" w:w="70"/>
              <w:left w:type="dxa" w:w="100"/>
              <w:bottom w:type="dxa" w:w="70"/>
              <w:right w:type="dxa" w:w="130"/>
            </w:tcMar>
            <w:vAlign w:val="center"/>
          </w:tcPr>
          <w:p>
            <w:r>
              <w:rPr>
                <w:rFonts w:ascii="Calibri" w:cs="Calibri" w:eastAsia="Calibri" w:hAnsi="Calibri"/>
                <w:i/>
                <w:iCs/>
                <w:color w:val="222222"/>
                <w:sz w:val="18"/>
                <w:szCs w:val="18"/>
              </w:rPr>
              <w:t xml:space="preserve">Up to ~1500 words (≈110–130 words/minute)</w:t>
            </w:r>
          </w:p>
        </w:tc>
      </w:tr>
      <w:tr>
        <w:tc>
          <w:tcPr>
            <w:tcW w:type="dxa" w:w="2700"/>
            <w:shd w:fill="FFFFFF" w:color="auto" w:val="clear"/>
            <w:tcMar>
              <w:top w:type="dxa" w:w="70"/>
              <w:left w:type="dxa" w:w="130"/>
              <w:bottom w:type="dxa" w:w="70"/>
              <w:right w:type="dxa" w:w="80"/>
            </w:tcMar>
            <w:vAlign w:val="center"/>
          </w:tcPr>
          <w:p>
            <w:r>
              <w:rPr>
                <w:rFonts w:ascii="Calibri" w:cs="Calibri" w:eastAsia="Calibri" w:hAnsi="Calibri"/>
                <w:b/>
                <w:bCs/>
                <w:color w:val="0D1B3E"/>
                <w:sz w:val="18"/>
                <w:szCs w:val="18"/>
              </w:rPr>
              <w:t xml:space="preserve">Anchor's Introduction Cue</w:t>
            </w:r>
          </w:p>
        </w:tc>
        <w:tc>
          <w:tcPr>
            <w:tcW w:type="dxa" w:w="7100"/>
            <w:shd w:fill="FFFFFF" w:color="auto" w:val="clear"/>
            <w:tcMar>
              <w:top w:type="dxa" w:w="70"/>
              <w:left w:type="dxa" w:w="100"/>
              <w:bottom w:type="dxa" w:w="70"/>
              <w:right w:type="dxa" w:w="130"/>
            </w:tcMar>
            <w:vAlign w:val="center"/>
          </w:tcPr>
          <w:p>
            <w:r>
              <w:rPr>
                <w:rFonts w:ascii="Calibri" w:cs="Calibri" w:eastAsia="Calibri" w:hAnsi="Calibri"/>
                <w:i/>
                <w:iCs/>
                <w:color w:val="222222"/>
                <w:sz w:val="18"/>
                <w:szCs w:val="18"/>
              </w:rPr>
              <w:t xml:space="preserve">“We now invite Dr. Pradip Chandra Das, Assistant Professor, Department of Sanskrit, Rabindra Bharati University, to deliver Invited Address I. Sir/Madam, the floor is yours.”</w:t>
            </w:r>
          </w:p>
        </w:tc>
      </w:tr>
      <w:tr>
        <w:tc>
          <w:tcPr>
            <w:tcW w:type="dxa" w:w="2700"/>
            <w:shd w:fill="F7F1E3" w:color="auto" w:val="clear"/>
            <w:tcMar>
              <w:top w:type="dxa" w:w="70"/>
              <w:left w:type="dxa" w:w="130"/>
              <w:bottom w:type="dxa" w:w="70"/>
              <w:right w:type="dxa" w:w="80"/>
            </w:tcMar>
            <w:vAlign w:val="center"/>
          </w:tcPr>
          <w:p>
            <w:r>
              <w:rPr>
                <w:rFonts w:ascii="Calibri" w:cs="Calibri" w:eastAsia="Calibri" w:hAnsi="Calibri"/>
                <w:b/>
                <w:bCs/>
                <w:color w:val="0D1B3E"/>
                <w:sz w:val="18"/>
                <w:szCs w:val="18"/>
              </w:rPr>
              <w:t xml:space="preserve">Anchor's Closing Line</w:t>
            </w:r>
          </w:p>
        </w:tc>
        <w:tc>
          <w:tcPr>
            <w:tcW w:type="dxa" w:w="7100"/>
            <w:shd w:fill="F7F1E3" w:color="auto" w:val="clear"/>
            <w:tcMar>
              <w:top w:type="dxa" w:w="70"/>
              <w:left w:type="dxa" w:w="100"/>
              <w:bottom w:type="dxa" w:w="70"/>
              <w:right w:type="dxa" w:w="130"/>
            </w:tcMar>
            <w:vAlign w:val="center"/>
          </w:tcPr>
          <w:p>
            <w:r>
              <w:rPr>
                <w:rFonts w:ascii="Calibri" w:cs="Calibri" w:eastAsia="Calibri" w:hAnsi="Calibri"/>
                <w:i/>
                <w:iCs/>
                <w:color w:val="222222"/>
                <w:sz w:val="18"/>
                <w:szCs w:val="18"/>
              </w:rPr>
              <w:t xml:space="preserve">“Thank you, Sir, for that insightful address.”</w:t>
            </w:r>
          </w:p>
        </w:tc>
      </w:tr>
    </w:tbl>
    <w:p>
      <w:pPr>
        <w:spacing w:after="140"/>
      </w:pPr>
    </w:p>
    <w:p>
      <w:pPr>
        <w:pStyle w:val="Heading1"/>
        <w:pBdr>
          <w:bottom w:val="single" w:color="C8972A" w:sz="8" w:space="6"/>
        </w:pBdr>
        <w:spacing w:after="100" w:before="300"/>
      </w:pPr>
      <w:r>
        <w:rPr>
          <w:rFonts w:ascii="Cambria" w:cs="Cambria" w:eastAsia="Cambria" w:hAnsi="Cambria"/>
          <w:b/>
          <w:bCs/>
          <w:color w:val="0D1B3E"/>
          <w:sz w:val="27"/>
          <w:szCs w:val="27"/>
        </w:rPr>
        <w:t xml:space="preserve">Timing &amp; Pacing Guide</w:t>
      </w:r>
    </w:p>
    <w:p>
      <w:pPr>
        <w:spacing w:after="120" w:line="250"/>
      </w:pPr>
      <w:r>
        <w:rPr>
          <w:rFonts w:ascii="Calibri" w:cs="Calibri" w:eastAsia="Calibri" w:hAnsi="Calibri"/>
          <w:i/>
          <w:iCs/>
          <w:color w:val="555555"/>
          <w:sz w:val="17"/>
          <w:szCs w:val="17"/>
        </w:rPr>
        <w:t xml:space="preserve">Clock times below are calculated from the scheduled start of this slot and are a pacing guide, not a rigid script — adjust live if the programme is running early or late, but keep within the allotted duration so the next speaker is not delayed.</w:t>
      </w:r>
    </w:p>
    <w:tbl>
      <w:tblPr>
        <w:tblW w:type="dxa" w:w="9800"/>
        <w:tblBorders>
          <w:top w:val="single" w:color="auto" w:sz="4"/>
          <w:left w:val="single" w:color="auto" w:sz="4"/>
          <w:bottom w:val="single" w:color="auto" w:sz="4"/>
          <w:right w:val="single" w:color="auto" w:sz="4"/>
          <w:insideH w:val="single" w:color="auto" w:sz="4"/>
          <w:insideV w:val="single" w:color="auto" w:sz="4"/>
        </w:tblBorders>
      </w:tblPr>
      <w:tblGrid>
        <w:gridCol w:w="2600"/>
        <w:gridCol w:w="5400"/>
        <w:gridCol w:w="1800"/>
      </w:tblGrid>
      <w:tr>
        <w:trPr>
          <w:tblHeader/>
        </w:trPr>
        <w:tc>
          <w:tcPr>
            <w:tcW w:type="dxa" w:w="2600"/>
            <w:shd w:fill="0D1B3E" w:color="auto" w:val="clear"/>
            <w:tcMar>
              <w:top w:type="dxa" w:w="70"/>
              <w:left w:type="dxa" w:w="100"/>
              <w:bottom w:type="dxa" w:w="70"/>
              <w:right w:type="dxa" w:w="100"/>
            </w:tcMar>
            <w:vAlign w:val="center"/>
          </w:tcPr>
          <w:p>
            <w:r>
              <w:rPr>
                <w:rFonts w:ascii="Calibri" w:cs="Calibri" w:eastAsia="Calibri" w:hAnsi="Calibri"/>
                <w:b/>
                <w:bCs/>
                <w:color w:val="FFFFFF"/>
                <w:sz w:val="17"/>
                <w:szCs w:val="17"/>
              </w:rPr>
              <w:t xml:space="preserve">Clock Time</w:t>
            </w:r>
          </w:p>
        </w:tc>
        <w:tc>
          <w:tcPr>
            <w:tcW w:type="dxa" w:w="5400"/>
            <w:shd w:fill="0D1B3E" w:color="auto" w:val="clear"/>
            <w:tcMar>
              <w:top w:type="dxa" w:w="70"/>
              <w:left w:type="dxa" w:w="100"/>
              <w:bottom w:type="dxa" w:w="70"/>
              <w:right w:type="dxa" w:w="100"/>
            </w:tcMar>
            <w:vAlign w:val="center"/>
          </w:tcPr>
          <w:p>
            <w:r>
              <w:rPr>
                <w:rFonts w:ascii="Calibri" w:cs="Calibri" w:eastAsia="Calibri" w:hAnsi="Calibri"/>
                <w:b/>
                <w:bCs/>
                <w:color w:val="FFFFFF"/>
                <w:sz w:val="17"/>
                <w:szCs w:val="17"/>
              </w:rPr>
              <w:t xml:space="preserve">What Happens</w:t>
            </w:r>
          </w:p>
        </w:tc>
        <w:tc>
          <w:tcPr>
            <w:tcW w:type="dxa" w:w="1800"/>
            <w:shd w:fill="0D1B3E" w:color="auto" w:val="clear"/>
            <w:tcMar>
              <w:top w:type="dxa" w:w="70"/>
              <w:left w:type="dxa" w:w="100"/>
              <w:bottom w:type="dxa" w:w="70"/>
              <w:right w:type="dxa" w:w="100"/>
            </w:tcMar>
            <w:vAlign w:val="center"/>
          </w:tcPr>
          <w:p>
            <w:r>
              <w:rPr>
                <w:rFonts w:ascii="Calibri" w:cs="Calibri" w:eastAsia="Calibri" w:hAnsi="Calibri"/>
                <w:b/>
                <w:bCs/>
                <w:color w:val="FFFFFF"/>
                <w:sz w:val="17"/>
                <w:szCs w:val="17"/>
              </w:rPr>
              <w:t xml:space="preserve">Duration</w:t>
            </w:r>
          </w:p>
        </w:tc>
      </w:tr>
      <w:tr>
        <w:tc>
          <w:tcPr>
            <w:tcW w:type="dxa" w:w="2600"/>
            <w:shd w:fill="FFFFFF" w:color="auto" w:val="clear"/>
            <w:tcMar>
              <w:top w:type="dxa" w:w="60"/>
              <w:left w:type="dxa" w:w="100"/>
              <w:bottom w:type="dxa" w:w="60"/>
              <w:right w:type="dxa" w:w="100"/>
            </w:tcMar>
            <w:vAlign w:val="center"/>
          </w:tcPr>
          <w:p>
            <w:r>
              <w:rPr>
                <w:rFonts w:ascii="Calibri" w:cs="Calibri" w:eastAsia="Calibri" w:hAnsi="Calibri"/>
                <w:b/>
                <w:bCs/>
                <w:color w:val="0D1B3E"/>
                <w:sz w:val="18"/>
                <w:szCs w:val="18"/>
              </w:rPr>
              <w:t xml:space="preserve">12:05 – 12:06 PM</w:t>
            </w:r>
          </w:p>
        </w:tc>
        <w:tc>
          <w:tcPr>
            <w:tcW w:type="dxa" w:w="5400"/>
            <w:shd w:fill="FFFFFF"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Opening &amp; framing remarks</w:t>
            </w:r>
          </w:p>
        </w:tc>
        <w:tc>
          <w:tcPr>
            <w:tcW w:type="dxa" w:w="1800"/>
            <w:shd w:fill="FFFFFF"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1 min</w:t>
            </w:r>
          </w:p>
        </w:tc>
      </w:tr>
      <w:tr>
        <w:tc>
          <w:tcPr>
            <w:tcW w:type="dxa" w:w="2600"/>
            <w:shd w:fill="F7F1E3" w:color="auto" w:val="clear"/>
            <w:tcMar>
              <w:top w:type="dxa" w:w="60"/>
              <w:left w:type="dxa" w:w="100"/>
              <w:bottom w:type="dxa" w:w="60"/>
              <w:right w:type="dxa" w:w="100"/>
            </w:tcMar>
            <w:vAlign w:val="center"/>
          </w:tcPr>
          <w:p>
            <w:r>
              <w:rPr>
                <w:rFonts w:ascii="Calibri" w:cs="Calibri" w:eastAsia="Calibri" w:hAnsi="Calibri"/>
                <w:b/>
                <w:bCs/>
                <w:color w:val="0D1B3E"/>
                <w:sz w:val="18"/>
                <w:szCs w:val="18"/>
              </w:rPr>
              <w:t xml:space="preserve">12:06 – 12:09 PM</w:t>
            </w:r>
          </w:p>
        </w:tc>
        <w:tc>
          <w:tcPr>
            <w:tcW w:type="dxa" w:w="5400"/>
            <w:shd w:fill="F7F1E3"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Point 1 — My main point</w:t>
            </w:r>
          </w:p>
        </w:tc>
        <w:tc>
          <w:tcPr>
            <w:tcW w:type="dxa" w:w="1800"/>
            <w:shd w:fill="F7F1E3"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3 min</w:t>
            </w:r>
          </w:p>
        </w:tc>
      </w:tr>
      <w:tr>
        <w:tc>
          <w:tcPr>
            <w:tcW w:type="dxa" w:w="2600"/>
            <w:shd w:fill="FFFFFF" w:color="auto" w:val="clear"/>
            <w:tcMar>
              <w:top w:type="dxa" w:w="60"/>
              <w:left w:type="dxa" w:w="100"/>
              <w:bottom w:type="dxa" w:w="60"/>
              <w:right w:type="dxa" w:w="100"/>
            </w:tcMar>
            <w:vAlign w:val="center"/>
          </w:tcPr>
          <w:p>
            <w:r>
              <w:rPr>
                <w:rFonts w:ascii="Calibri" w:cs="Calibri" w:eastAsia="Calibri" w:hAnsi="Calibri"/>
                <w:b/>
                <w:bCs/>
                <w:color w:val="0D1B3E"/>
                <w:sz w:val="18"/>
                <w:szCs w:val="18"/>
              </w:rPr>
              <w:t xml:space="preserve">12:09 – 12:12 PM</w:t>
            </w:r>
          </w:p>
        </w:tc>
        <w:tc>
          <w:tcPr>
            <w:tcW w:type="dxa" w:w="5400"/>
            <w:shd w:fill="FFFFFF"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Point 2 — How this can work in India</w:t>
            </w:r>
          </w:p>
        </w:tc>
        <w:tc>
          <w:tcPr>
            <w:tcW w:type="dxa" w:w="1800"/>
            <w:shd w:fill="FFFFFF"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3 min</w:t>
            </w:r>
          </w:p>
        </w:tc>
      </w:tr>
      <w:tr>
        <w:tc>
          <w:tcPr>
            <w:tcW w:type="dxa" w:w="2600"/>
            <w:shd w:fill="F7F1E3" w:color="auto" w:val="clear"/>
            <w:tcMar>
              <w:top w:type="dxa" w:w="60"/>
              <w:left w:type="dxa" w:w="100"/>
              <w:bottom w:type="dxa" w:w="60"/>
              <w:right w:type="dxa" w:w="100"/>
            </w:tcMar>
            <w:vAlign w:val="center"/>
          </w:tcPr>
          <w:p>
            <w:r>
              <w:rPr>
                <w:rFonts w:ascii="Calibri" w:cs="Calibri" w:eastAsia="Calibri" w:hAnsi="Calibri"/>
                <w:b/>
                <w:bCs/>
                <w:color w:val="0D1B3E"/>
                <w:sz w:val="18"/>
                <w:szCs w:val="18"/>
              </w:rPr>
              <w:t xml:space="preserve">12:12 – 12:15 PM</w:t>
            </w:r>
          </w:p>
        </w:tc>
        <w:tc>
          <w:tcPr>
            <w:tcW w:type="dxa" w:w="5400"/>
            <w:shd w:fill="F7F1E3"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Point 3 — Why this matters for Vikshit Bharat 2047</w:t>
            </w:r>
          </w:p>
        </w:tc>
        <w:tc>
          <w:tcPr>
            <w:tcW w:type="dxa" w:w="1800"/>
            <w:shd w:fill="F7F1E3"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3 min</w:t>
            </w:r>
          </w:p>
        </w:tc>
      </w:tr>
      <w:tr>
        <w:tc>
          <w:tcPr>
            <w:tcW w:type="dxa" w:w="2600"/>
            <w:shd w:fill="FFFFFF" w:color="auto" w:val="clear"/>
            <w:tcMar>
              <w:top w:type="dxa" w:w="60"/>
              <w:left w:type="dxa" w:w="100"/>
              <w:bottom w:type="dxa" w:w="60"/>
              <w:right w:type="dxa" w:w="100"/>
            </w:tcMar>
            <w:vAlign w:val="center"/>
          </w:tcPr>
          <w:p>
            <w:r>
              <w:rPr>
                <w:rFonts w:ascii="Calibri" w:cs="Calibri" w:eastAsia="Calibri" w:hAnsi="Calibri"/>
                <w:b/>
                <w:bCs/>
                <w:color w:val="0D1B3E"/>
                <w:sz w:val="18"/>
                <w:szCs w:val="18"/>
              </w:rPr>
              <w:t xml:space="preserve">12:15 – 12:18 PM</w:t>
            </w:r>
          </w:p>
        </w:tc>
        <w:tc>
          <w:tcPr>
            <w:tcW w:type="dxa" w:w="5400"/>
            <w:shd w:fill="FFFFFF"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Point 4 — My recommendation</w:t>
            </w:r>
          </w:p>
        </w:tc>
        <w:tc>
          <w:tcPr>
            <w:tcW w:type="dxa" w:w="1800"/>
            <w:shd w:fill="FFFFFF"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3 min</w:t>
            </w:r>
          </w:p>
        </w:tc>
      </w:tr>
      <w:tr>
        <w:tc>
          <w:tcPr>
            <w:tcW w:type="dxa" w:w="2600"/>
            <w:shd w:fill="F7F1E3" w:color="auto" w:val="clear"/>
            <w:tcMar>
              <w:top w:type="dxa" w:w="60"/>
              <w:left w:type="dxa" w:w="100"/>
              <w:bottom w:type="dxa" w:w="60"/>
              <w:right w:type="dxa" w:w="100"/>
            </w:tcMar>
            <w:vAlign w:val="center"/>
          </w:tcPr>
          <w:p>
            <w:r>
              <w:rPr>
                <w:rFonts w:ascii="Calibri" w:cs="Calibri" w:eastAsia="Calibri" w:hAnsi="Calibri"/>
                <w:b/>
                <w:bCs/>
                <w:color w:val="0D1B3E"/>
                <w:sz w:val="18"/>
                <w:szCs w:val="18"/>
              </w:rPr>
              <w:t xml:space="preserve">12:18 – 12:20 PM</w:t>
            </w:r>
          </w:p>
        </w:tc>
        <w:tc>
          <w:tcPr>
            <w:tcW w:type="dxa" w:w="5400"/>
            <w:shd w:fill="F7F1E3"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Closing remarks</w:t>
            </w:r>
          </w:p>
        </w:tc>
        <w:tc>
          <w:tcPr>
            <w:tcW w:type="dxa" w:w="1800"/>
            <w:shd w:fill="F7F1E3"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2 min</w:t>
            </w:r>
          </w:p>
        </w:tc>
      </w:tr>
    </w:tbl>
    <w:p>
      <w:pPr>
        <w:spacing w:after="160"/>
      </w:pPr>
    </w:p>
    <w:p>
      <w:pPr>
        <w:pStyle w:val="Heading1"/>
        <w:pBdr>
          <w:bottom w:val="single" w:color="C8972A" w:sz="8" w:space="6"/>
        </w:pBdr>
        <w:spacing w:after="100" w:before="300"/>
      </w:pPr>
      <w:r>
        <w:rPr>
          <w:rFonts w:ascii="Cambria" w:cs="Cambria" w:eastAsia="Cambria" w:hAnsi="Cambria"/>
          <w:b/>
          <w:bCs/>
          <w:color w:val="0D1B3E"/>
          <w:sz w:val="27"/>
          <w:szCs w:val="27"/>
        </w:rPr>
        <w:t xml:space="preserve">Speech Script</w:t>
      </w:r>
    </w:p>
    <w:p>
      <w:pPr>
        <w:spacing w:after="120" w:line="250"/>
      </w:pPr>
      <w:r>
        <w:rPr>
          <w:rFonts w:ascii="Calibri" w:cs="Calibri" w:eastAsia="Calibri" w:hAnsi="Calibri"/>
          <w:i/>
          <w:iCs/>
          <w:color w:val="555555"/>
          <w:sz w:val="17"/>
          <w:szCs w:val="17"/>
        </w:rPr>
        <w:t xml:space="preserve">This is a general, illustrative draft on the seminar's theme — not based on this resource person's actual unpublished research, personal data, or institutional findings. Please review, personalize with your own examples and knowledge, and verify every fact before speaking, especially in front of two Hon'ble Ministers, an international audience, and a livestream.</w:t>
      </w:r>
    </w:p>
    <w:p>
      <w:pPr>
        <w:spacing w:after="130" w:line="300"/>
      </w:pPr>
      <w:r>
        <w:rPr>
          <w:rFonts w:ascii="Calibri" w:cs="Calibri" w:eastAsia="Calibri" w:hAnsi="Calibri"/>
          <w:color w:val="222222"/>
          <w:sz w:val="21"/>
          <w:szCs w:val="21"/>
        </w:rPr>
        <w:t xml:space="preserve">Respected dignitaries on the dais, fellow resource persons, and dear participants — thank you for this opportunity to share a few thoughts with you today.</w:t>
      </w:r>
    </w:p>
    <w:p>
      <w:pPr>
        <w:spacing w:after="130" w:line="300"/>
      </w:pPr>
      <w:r>
        <w:rPr>
          <w:rFonts w:ascii="Calibri" w:cs="Calibri" w:eastAsia="Calibri" w:hAnsi="Calibri"/>
          <w:color w:val="222222"/>
          <w:sz w:val="21"/>
          <w:szCs w:val="21"/>
        </w:rPr>
        <w:t xml:space="preserve">Teacher training reform in India does not happen through policy papers alone. It happens through daily choices made inside our classrooms and our teacher-training colleges.</w:t>
      </w:r>
    </w:p>
    <w:p>
      <w:pPr>
        <w:spacing w:after="30" w:before="100"/>
      </w:pPr>
      <w:r>
        <w:rPr>
          <w:rFonts w:ascii="Calibri" w:cs="Calibri" w:eastAsia="Calibri" w:hAnsi="Calibri"/>
          <w:b/>
          <w:bCs/>
          <w:i/>
          <w:iCs/>
          <w:color w:val="9C7620"/>
          <w:sz w:val="18"/>
          <w:szCs w:val="18"/>
        </w:rPr>
        <w:t xml:space="preserve">Point 1 — My main point</w:t>
      </w:r>
    </w:p>
    <w:p>
      <w:pPr>
        <w:spacing w:after="130" w:line="300"/>
      </w:pPr>
      <w:r>
        <w:rPr>
          <w:rFonts w:ascii="Calibri" w:cs="Calibri" w:eastAsia="Calibri" w:hAnsi="Calibri"/>
          <w:color w:val="222222"/>
          <w:sz w:val="21"/>
          <w:szCs w:val="21"/>
        </w:rPr>
        <w:t xml:space="preserve">Digital tools are important for Indian teacher training. But digital tools help only when they are used with good teaching methods, not added on as a small, separate topic.</w:t>
      </w:r>
    </w:p>
    <w:p>
      <w:pPr>
        <w:spacing w:after="30" w:before="100"/>
      </w:pPr>
      <w:r>
        <w:rPr>
          <w:rFonts w:ascii="Calibri" w:cs="Calibri" w:eastAsia="Calibri" w:hAnsi="Calibri"/>
          <w:b/>
          <w:bCs/>
          <w:i/>
          <w:iCs/>
          <w:color w:val="9C7620"/>
          <w:sz w:val="18"/>
          <w:szCs w:val="18"/>
        </w:rPr>
        <w:t xml:space="preserve">Point 2 — How this can work in India</w:t>
      </w:r>
    </w:p>
    <w:p>
      <w:pPr>
        <w:spacing w:after="130" w:line="300"/>
      </w:pPr>
      <w:r>
        <w:rPr>
          <w:rFonts w:ascii="Calibri" w:cs="Calibri" w:eastAsia="Calibri" w:hAnsi="Calibri"/>
          <w:color w:val="222222"/>
          <w:sz w:val="21"/>
          <w:szCs w:val="21"/>
        </w:rPr>
        <w:t xml:space="preserve">Colleges that see real success are the ones that use digital tools directly during teaching practice — trainee teachers use them to plan lessons, check learning, and get feedback, with an experienced mentor guiding them. This is far more useful than a single computer class taught on its own.</w:t>
      </w:r>
    </w:p>
    <w:p>
      <w:pPr>
        <w:spacing w:after="30" w:before="100"/>
      </w:pPr>
      <w:r>
        <w:rPr>
          <w:rFonts w:ascii="Calibri" w:cs="Calibri" w:eastAsia="Calibri" w:hAnsi="Calibri"/>
          <w:b/>
          <w:bCs/>
          <w:i/>
          <w:iCs/>
          <w:color w:val="9C7620"/>
          <w:sz w:val="18"/>
          <w:szCs w:val="18"/>
        </w:rPr>
        <w:t xml:space="preserve">Point 3 — Why this matters for Vikshit Bharat 2047</w:t>
      </w:r>
    </w:p>
    <w:p>
      <w:pPr>
        <w:spacing w:after="130" w:line="300"/>
      </w:pPr>
      <w:r>
        <w:rPr>
          <w:rFonts w:ascii="Calibri" w:cs="Calibri" w:eastAsia="Calibri" w:hAnsi="Calibri"/>
          <w:color w:val="222222"/>
          <w:sz w:val="21"/>
          <w:szCs w:val="21"/>
        </w:rPr>
        <w:t xml:space="preserve">A confident, tech-ready teaching workforce is the foundation of a digitally strong India. If our teachers are comfortable with technology, our students will be too.</w:t>
      </w:r>
    </w:p>
    <w:p>
      <w:pPr>
        <w:spacing w:after="30" w:before="100"/>
      </w:pPr>
      <w:r>
        <w:rPr>
          <w:rFonts w:ascii="Calibri" w:cs="Calibri" w:eastAsia="Calibri" w:hAnsi="Calibri"/>
          <w:b/>
          <w:bCs/>
          <w:i/>
          <w:iCs/>
          <w:color w:val="9C7620"/>
          <w:sz w:val="18"/>
          <w:szCs w:val="18"/>
        </w:rPr>
        <w:t xml:space="preserve">Point 4 — My recommendation</w:t>
      </w:r>
    </w:p>
    <w:p>
      <w:pPr>
        <w:spacing w:after="130" w:line="300"/>
      </w:pPr>
      <w:r>
        <w:rPr>
          <w:rFonts w:ascii="Calibri" w:cs="Calibri" w:eastAsia="Calibri" w:hAnsi="Calibri"/>
          <w:color w:val="222222"/>
          <w:sz w:val="21"/>
          <w:szCs w:val="21"/>
        </w:rPr>
        <w:t xml:space="preserve">I recommend that Indian teacher-training colleges offer regular digital-teaching refresher sessions for both new and serving teachers, instead of treating digital training as a one-time requirement.</w:t>
      </w:r>
    </w:p>
    <w:p>
      <w:pPr>
        <w:spacing w:after="130" w:line="300"/>
      </w:pPr>
      <w:r>
        <w:rPr>
          <w:rFonts w:ascii="Calibri" w:cs="Calibri" w:eastAsia="Calibri" w:hAnsi="Calibri"/>
          <w:color w:val="222222"/>
          <w:sz w:val="21"/>
          <w:szCs w:val="21"/>
        </w:rPr>
        <w:t xml:space="preserve">Thank you for your attention, and I look forward to the discussion that follows later in the day.</w:t>
      </w:r>
    </w:p>
    <w:sectPr>
      <w:headerReference w:type="default" r:id="rId7"/>
      <w:footerReference w:type="default" r:id="rId8"/>
      <w:pgSz w:w="11906" w:h="16838" w:orient="portrait"/>
      <w:pgMar w:top="900" w:right="1000" w:bottom="95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4" w:space="4"/>
      </w:pBdr>
      <w:spacing w:after="15"/>
      <w:jc w:val="center"/>
    </w:pPr>
    <w:r>
      <w:rPr>
        <w:rFonts w:ascii="Calibri" w:cs="Calibri" w:eastAsia="Calibri" w:hAnsi="Calibri"/>
        <w:b/>
        <w:bCs/>
        <w:color w:val="0D1B3E"/>
        <w:sz w:val="14"/>
        <w:szCs w:val="14"/>
      </w:rPr>
      <w:t xml:space="preserve">Baikuntha College of Education  ·  International Seminar 2026</w:t>
    </w:r>
  </w:p>
  <w:p>
    <w:pPr>
      <w:spacing w:after="20"/>
      <w:jc w:val="center"/>
    </w:pPr>
    <w:r>
      <w:rPr>
        <w:rFonts w:ascii="Calibri" w:cs="Calibri" w:eastAsia="Calibri" w:hAnsi="Calibri"/>
        <w:i/>
        <w:iCs/>
        <w:color w:val="555555"/>
        <w:sz w:val="13"/>
        <w:szCs w:val="13"/>
      </w:rPr>
      <w:t xml:space="preserve">Organizing Partner: Onusandhanapp.com — powered by Topic Engine (www.topicengine.co.in)</w:t>
    </w:r>
  </w:p>
  <w:p>
    <w:pPr>
      <w:jc w:val="center"/>
    </w:pPr>
    <w:r>
      <w:rPr>
        <w:rFonts w:ascii="Calibri" w:cs="Calibri" w:eastAsia="Calibri" w:hAnsi="Calibri"/>
        <w:color w:val="555555"/>
        <w:sz w:val="14"/>
        <w:szCs w:val="14"/>
      </w:rPr>
      <w:t xml:space="preserve">Page </w:t>
    </w:r>
    <w:r>
      <w:rPr>
        <w:rFonts w:ascii="Calibri" w:cs="Calibri" w:eastAsia="Calibri" w:hAnsi="Calibri"/>
        <w:color w:val="555555"/>
        <w:sz w:val="14"/>
        <w:szCs w:val="14"/>
      </w:rPr>
      <w:fldChar w:fldCharType="begin"/>
      <w:instrText xml:space="preserve">PAGE</w:instrText>
      <w:fldChar w:fldCharType="separate"/>
      <w:fldChar w:fldCharType="end"/>
    </w:r>
    <w:r>
      <w:rPr>
        <w:rFonts w:ascii="Calibri" w:cs="Calibri" w:eastAsia="Calibri" w:hAnsi="Calibri"/>
        <w:color w:val="555555"/>
        <w:sz w:val="14"/>
        <w:szCs w:val="14"/>
      </w:rPr>
      <w:t xml:space="preserve"> of </w:t>
    </w:r>
    <w:r>
      <w:rPr>
        <w:rFonts w:ascii="Calibri" w:cs="Calibri" w:eastAsia="Calibri" w:hAnsi="Calibri"/>
        <w:color w:val="555555"/>
        <w:sz w:val="14"/>
        <w:szCs w:val="14"/>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CCCCC" w:sz="4" w:space="2"/>
      </w:pBdr>
      <w:jc w:val="right"/>
    </w:pPr>
    <w:r>
      <w:rPr>
        <w:rFonts w:ascii="Calibri" w:cs="Calibri" w:eastAsia="Calibri" w:hAnsi="Calibri"/>
        <w:color w:val="555555"/>
        <w:sz w:val="13"/>
        <w:szCs w:val="13"/>
      </w:rPr>
      <w:t xml:space="preserve">Baikuntha College of Education · International Seminar 2026 · Speech Script — Dr. Pradip Chandra Das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2026-08-26T09:50:02.357Z</dcterms:created>
  <dcterms:modified xsi:type="dcterms:W3CDTF">2026-08-26T09:50:02.357Z</dcterms:modified>
</cp:coreProperties>
</file>

<file path=docProps/custom.xml><?xml version="1.0" encoding="utf-8"?>
<Properties xmlns="http://schemas.openxmlformats.org/officeDocument/2006/custom-properties" xmlns:vt="http://schemas.openxmlformats.org/officeDocument/2006/docPropsVTypes"/>
</file>