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 w:before="60"/>
        <w:jc w:val="center"/>
      </w:pPr>
      <w:r>
        <w:rPr>
          <w:rFonts w:ascii="Calibri" w:cs="Calibri" w:eastAsia="Calibri" w:hAnsi="Calibri"/>
          <w:b/>
          <w:bCs/>
          <w:color w:val="9C7620"/>
          <w:sz w:val="17"/>
          <w:szCs w:val="17"/>
        </w:rPr>
        <w:t xml:space="preserve">IQAC · BAIKUNTHA COLLEGE OF EDUCATION</w:t>
      </w:r>
    </w:p>
    <w:p>
      <w:pPr>
        <w:spacing w:after="10" w:before="40"/>
        <w:jc w:val="center"/>
      </w:pPr>
      <w:r>
        <w:rPr>
          <w:rFonts w:ascii="Cambria" w:cs="Cambria" w:eastAsia="Cambria" w:hAnsi="Cambria"/>
          <w:b/>
          <w:bCs/>
          <w:color w:val="0D1B3E"/>
          <w:sz w:val="22"/>
          <w:szCs w:val="22"/>
        </w:rPr>
        <w:t xml:space="preserve">RESOURCE PERSON SPEECH SCRIPT</w:t>
      </w:r>
    </w:p>
    <w:p>
      <w:pPr>
        <w:spacing w:after="6" w:before="60"/>
        <w:jc w:val="center"/>
      </w:pPr>
      <w:r>
        <w:rPr>
          <w:rFonts w:ascii="Cambria" w:cs="Cambria" w:eastAsia="Cambria" w:hAnsi="Cambria"/>
          <w:b/>
          <w:bCs/>
          <w:color w:val="9C7620"/>
          <w:sz w:val="32"/>
          <w:szCs w:val="32"/>
        </w:rPr>
        <w:t xml:space="preserve">Mr. Daya Dissanayake</w:t>
      </w:r>
    </w:p>
    <w:p>
      <w:pPr>
        <w:spacing w:after="6"/>
        <w:jc w:val="center"/>
      </w:pPr>
      <w:r>
        <w:rPr>
          <w:rFonts w:ascii="Calibri" w:cs="Calibri" w:eastAsia="Calibri" w:hAnsi="Calibri"/>
          <w:color w:val="222222"/>
          <w:sz w:val="19"/>
          <w:szCs w:val="19"/>
        </w:rPr>
        <w:t xml:space="preserve">Eminent Sri Lankan Author</w:t>
      </w:r>
    </w:p>
    <w:p>
      <w:pPr>
        <w:spacing w:after="160"/>
        <w:jc w:val="center"/>
      </w:pPr>
      <w:r>
        <w:rPr>
          <w:rFonts w:ascii="Calibri" w:cs="Calibri" w:eastAsia="Calibri" w:hAnsi="Calibri"/>
          <w:color w:val="555555"/>
          <w:sz w:val="15"/>
          <w:szCs w:val="15"/>
        </w:rPr>
        <w:t xml:space="preserve">International Seminar 2026 · 28 August 2026 · Multipurpose Hall, Baikuntha College of Education · Hybrid Mode</w:t>
      </w:r>
    </w:p>
    <w:tbl>
      <w:tblPr>
        <w:tblW w:type="dxa" w:w="9800"/>
        <w:tblBorders>
          <w:top w:val="single" w:color="C8972A" w:sz="8"/>
          <w:left w:val="single" w:color="C8972A" w:sz="8"/>
          <w:bottom w:val="single" w:color="C8972A" w:sz="8"/>
          <w:right w:val="single" w:color="C8972A" w:sz="8"/>
          <w:insideH w:val="single" w:color="E4D9BE" w:sz="2"/>
          <w:insideV w:val="single" w:color="E4D9BE" w:sz="2"/>
        </w:tblBorders>
      </w:tblPr>
      <w:tblGrid>
        <w:gridCol w:w="2700"/>
        <w:gridCol w:w="7100"/>
      </w:tblGrid>
      <w:tr>
        <w:tc>
          <w:tcPr>
            <w:tcW w:type="dxa" w:w="2700"/>
            <w:shd w:fill="FFFFFF" w:color="auto" w:val="clear"/>
            <w:tcMar>
              <w:top w:type="dxa" w:w="70"/>
              <w:left w:type="dxa" w:w="130"/>
              <w:bottom w:type="dxa" w:w="70"/>
              <w:right w:type="dxa" w:w="80"/>
            </w:tcMar>
            <w:vAlign w:val="center"/>
          </w:tcPr>
          <w:p>
            <w:r>
              <w:rPr>
                <w:rFonts w:ascii="Calibri" w:cs="Calibri" w:eastAsia="Calibri" w:hAnsi="Calibri"/>
                <w:b/>
                <w:bCs/>
                <w:color w:val="0D1B3E"/>
                <w:sz w:val="18"/>
                <w:szCs w:val="18"/>
              </w:rPr>
              <w:t xml:space="preserve">Session</w:t>
            </w:r>
          </w:p>
        </w:tc>
        <w:tc>
          <w:tcPr>
            <w:tcW w:type="dxa" w:w="7100"/>
            <w:shd w:fill="FFFFFF" w:color="auto" w:val="clear"/>
            <w:tcMar>
              <w:top w:type="dxa" w:w="70"/>
              <w:left w:type="dxa" w:w="100"/>
              <w:bottom w:type="dxa" w:w="70"/>
              <w:right w:type="dxa" w:w="130"/>
            </w:tcMar>
            <w:vAlign w:val="center"/>
          </w:tcPr>
          <w:p>
            <w:r>
              <w:rPr>
                <w:rFonts w:ascii="Calibri" w:cs="Calibri" w:eastAsia="Calibri" w:hAnsi="Calibri"/>
                <w:i/>
                <w:iCs/>
                <w:color w:val="222222"/>
                <w:sz w:val="18"/>
                <w:szCs w:val="18"/>
              </w:rPr>
              <w:t xml:space="preserve">International Invited Address</w:t>
            </w:r>
          </w:p>
        </w:tc>
      </w:tr>
      <w:tr>
        <w:tc>
          <w:tcPr>
            <w:tcW w:type="dxa" w:w="2700"/>
            <w:shd w:fill="F7F1E3" w:color="auto" w:val="clear"/>
            <w:tcMar>
              <w:top w:type="dxa" w:w="70"/>
              <w:left w:type="dxa" w:w="130"/>
              <w:bottom w:type="dxa" w:w="70"/>
              <w:right w:type="dxa" w:w="80"/>
            </w:tcMar>
            <w:vAlign w:val="center"/>
          </w:tcPr>
          <w:p>
            <w:r>
              <w:rPr>
                <w:rFonts w:ascii="Calibri" w:cs="Calibri" w:eastAsia="Calibri" w:hAnsi="Calibri"/>
                <w:b/>
                <w:bCs/>
                <w:color w:val="0D1B3E"/>
                <w:sz w:val="18"/>
                <w:szCs w:val="18"/>
              </w:rPr>
              <w:t xml:space="preserve">Scheduled Slot</w:t>
            </w:r>
          </w:p>
        </w:tc>
        <w:tc>
          <w:tcPr>
            <w:tcW w:type="dxa" w:w="7100"/>
            <w:shd w:fill="F7F1E3" w:color="auto" w:val="clear"/>
            <w:tcMar>
              <w:top w:type="dxa" w:w="70"/>
              <w:left w:type="dxa" w:w="100"/>
              <w:bottom w:type="dxa" w:w="70"/>
              <w:right w:type="dxa" w:w="130"/>
            </w:tcMar>
            <w:vAlign w:val="center"/>
          </w:tcPr>
          <w:p>
            <w:r>
              <w:rPr>
                <w:rFonts w:ascii="Calibri" w:cs="Calibri" w:eastAsia="Calibri" w:hAnsi="Calibri"/>
                <w:i/>
                <w:iCs/>
                <w:color w:val="222222"/>
                <w:sz w:val="18"/>
                <w:szCs w:val="18"/>
              </w:rPr>
              <w:t xml:space="preserve">11:25 – 11:45 AM</w:t>
            </w:r>
          </w:p>
        </w:tc>
      </w:tr>
      <w:tr>
        <w:tc>
          <w:tcPr>
            <w:tcW w:type="dxa" w:w="2700"/>
            <w:shd w:fill="FFFFFF" w:color="auto" w:val="clear"/>
            <w:tcMar>
              <w:top w:type="dxa" w:w="70"/>
              <w:left w:type="dxa" w:w="130"/>
              <w:bottom w:type="dxa" w:w="70"/>
              <w:right w:type="dxa" w:w="80"/>
            </w:tcMar>
            <w:vAlign w:val="center"/>
          </w:tcPr>
          <w:p>
            <w:r>
              <w:rPr>
                <w:rFonts w:ascii="Calibri" w:cs="Calibri" w:eastAsia="Calibri" w:hAnsi="Calibri"/>
                <w:b/>
                <w:bCs/>
                <w:color w:val="0D1B3E"/>
                <w:sz w:val="18"/>
                <w:szCs w:val="18"/>
              </w:rPr>
              <w:t xml:space="preserve">Allotted Duration</w:t>
            </w:r>
          </w:p>
        </w:tc>
        <w:tc>
          <w:tcPr>
            <w:tcW w:type="dxa" w:w="7100"/>
            <w:shd w:fill="FFFFFF" w:color="auto" w:val="clear"/>
            <w:tcMar>
              <w:top w:type="dxa" w:w="70"/>
              <w:left w:type="dxa" w:w="100"/>
              <w:bottom w:type="dxa" w:w="70"/>
              <w:right w:type="dxa" w:w="130"/>
            </w:tcMar>
            <w:vAlign w:val="center"/>
          </w:tcPr>
          <w:p>
            <w:r>
              <w:rPr>
                <w:rFonts w:ascii="Calibri" w:cs="Calibri" w:eastAsia="Calibri" w:hAnsi="Calibri"/>
                <w:i/>
                <w:iCs/>
                <w:color w:val="222222"/>
                <w:sz w:val="18"/>
                <w:szCs w:val="18"/>
              </w:rPr>
              <w:t xml:space="preserve">20 minutes</w:t>
            </w:r>
          </w:p>
        </w:tc>
      </w:tr>
      <w:tr>
        <w:tc>
          <w:tcPr>
            <w:tcW w:type="dxa" w:w="2700"/>
            <w:shd w:fill="F7F1E3" w:color="auto" w:val="clear"/>
            <w:tcMar>
              <w:top w:type="dxa" w:w="70"/>
              <w:left w:type="dxa" w:w="130"/>
              <w:bottom w:type="dxa" w:w="70"/>
              <w:right w:type="dxa" w:w="80"/>
            </w:tcMar>
            <w:vAlign w:val="center"/>
          </w:tcPr>
          <w:p>
            <w:r>
              <w:rPr>
                <w:rFonts w:ascii="Calibri" w:cs="Calibri" w:eastAsia="Calibri" w:hAnsi="Calibri"/>
                <w:b/>
                <w:bCs/>
                <w:color w:val="0D1B3E"/>
                <w:sz w:val="18"/>
                <w:szCs w:val="18"/>
              </w:rPr>
              <w:t xml:space="preserve">Suggested Length</w:t>
            </w:r>
          </w:p>
        </w:tc>
        <w:tc>
          <w:tcPr>
            <w:tcW w:type="dxa" w:w="7100"/>
            <w:shd w:fill="F7F1E3" w:color="auto" w:val="clear"/>
            <w:tcMar>
              <w:top w:type="dxa" w:w="70"/>
              <w:left w:type="dxa" w:w="100"/>
              <w:bottom w:type="dxa" w:w="70"/>
              <w:right w:type="dxa" w:w="130"/>
            </w:tcMar>
            <w:vAlign w:val="center"/>
          </w:tcPr>
          <w:p>
            <w:r>
              <w:rPr>
                <w:rFonts w:ascii="Calibri" w:cs="Calibri" w:eastAsia="Calibri" w:hAnsi="Calibri"/>
                <w:i/>
                <w:iCs/>
                <w:color w:val="222222"/>
                <w:sz w:val="18"/>
                <w:szCs w:val="18"/>
              </w:rPr>
              <w:t xml:space="preserve">Up to ~1900 words (≈110–130 words/minute)</w:t>
            </w:r>
          </w:p>
        </w:tc>
      </w:tr>
      <w:tr>
        <w:tc>
          <w:tcPr>
            <w:tcW w:type="dxa" w:w="2700"/>
            <w:shd w:fill="FFFFFF" w:color="auto" w:val="clear"/>
            <w:tcMar>
              <w:top w:type="dxa" w:w="70"/>
              <w:left w:type="dxa" w:w="130"/>
              <w:bottom w:type="dxa" w:w="70"/>
              <w:right w:type="dxa" w:w="80"/>
            </w:tcMar>
            <w:vAlign w:val="center"/>
          </w:tcPr>
          <w:p>
            <w:r>
              <w:rPr>
                <w:rFonts w:ascii="Calibri" w:cs="Calibri" w:eastAsia="Calibri" w:hAnsi="Calibri"/>
                <w:b/>
                <w:bCs/>
                <w:color w:val="0D1B3E"/>
                <w:sz w:val="18"/>
                <w:szCs w:val="18"/>
              </w:rPr>
              <w:t xml:space="preserve">Anchor's Introduction Cue</w:t>
            </w:r>
          </w:p>
        </w:tc>
        <w:tc>
          <w:tcPr>
            <w:tcW w:type="dxa" w:w="7100"/>
            <w:shd w:fill="FFFFFF" w:color="auto" w:val="clear"/>
            <w:tcMar>
              <w:top w:type="dxa" w:w="70"/>
              <w:left w:type="dxa" w:w="100"/>
              <w:bottom w:type="dxa" w:w="70"/>
              <w:right w:type="dxa" w:w="130"/>
            </w:tcMar>
            <w:vAlign w:val="center"/>
          </w:tcPr>
          <w:p>
            <w:r>
              <w:rPr>
                <w:rFonts w:ascii="Calibri" w:cs="Calibri" w:eastAsia="Calibri" w:hAnsi="Calibri"/>
                <w:i/>
                <w:iCs/>
                <w:color w:val="222222"/>
                <w:sz w:val="18"/>
                <w:szCs w:val="18"/>
              </w:rPr>
              <w:t xml:space="preserve">“We now invite Mr. Daya Dissanayake, eminent author from Sri Lanka, to deliver his invited address. Sir/Madam, the floor is yours.”</w:t>
            </w:r>
          </w:p>
        </w:tc>
      </w:tr>
      <w:tr>
        <w:tc>
          <w:tcPr>
            <w:tcW w:type="dxa" w:w="2700"/>
            <w:shd w:fill="F7F1E3" w:color="auto" w:val="clear"/>
            <w:tcMar>
              <w:top w:type="dxa" w:w="70"/>
              <w:left w:type="dxa" w:w="130"/>
              <w:bottom w:type="dxa" w:w="70"/>
              <w:right w:type="dxa" w:w="80"/>
            </w:tcMar>
            <w:vAlign w:val="center"/>
          </w:tcPr>
          <w:p>
            <w:r>
              <w:rPr>
                <w:rFonts w:ascii="Calibri" w:cs="Calibri" w:eastAsia="Calibri" w:hAnsi="Calibri"/>
                <w:b/>
                <w:bCs/>
                <w:color w:val="0D1B3E"/>
                <w:sz w:val="18"/>
                <w:szCs w:val="18"/>
              </w:rPr>
              <w:t xml:space="preserve">Anchor's Closing Line</w:t>
            </w:r>
          </w:p>
        </w:tc>
        <w:tc>
          <w:tcPr>
            <w:tcW w:type="dxa" w:w="7100"/>
            <w:shd w:fill="F7F1E3" w:color="auto" w:val="clear"/>
            <w:tcMar>
              <w:top w:type="dxa" w:w="70"/>
              <w:left w:type="dxa" w:w="100"/>
              <w:bottom w:type="dxa" w:w="70"/>
              <w:right w:type="dxa" w:w="130"/>
            </w:tcMar>
            <w:vAlign w:val="center"/>
          </w:tcPr>
          <w:p>
            <w:r>
              <w:rPr>
                <w:rFonts w:ascii="Calibri" w:cs="Calibri" w:eastAsia="Calibri" w:hAnsi="Calibri"/>
                <w:i/>
                <w:iCs/>
                <w:color w:val="222222"/>
                <w:sz w:val="18"/>
                <w:szCs w:val="18"/>
              </w:rPr>
              <w:t xml:space="preserve">“Thank you, Sir, for bringing us that valuable international perspective.”</w:t>
            </w:r>
          </w:p>
        </w:tc>
      </w:tr>
    </w:tbl>
    <w:p>
      <w:pPr>
        <w:spacing w:after="140"/>
      </w:pPr>
    </w:p>
    <w:p>
      <w:pPr>
        <w:pStyle w:val="Heading1"/>
        <w:pBdr>
          <w:bottom w:val="single" w:color="C8972A" w:sz="8" w:space="6"/>
        </w:pBdr>
        <w:spacing w:after="100" w:before="300"/>
      </w:pPr>
      <w:r>
        <w:rPr>
          <w:rFonts w:ascii="Cambria" w:cs="Cambria" w:eastAsia="Cambria" w:hAnsi="Cambria"/>
          <w:b/>
          <w:bCs/>
          <w:color w:val="0D1B3E"/>
          <w:sz w:val="27"/>
          <w:szCs w:val="27"/>
        </w:rPr>
        <w:t xml:space="preserve">Timing &amp; Pacing Guide</w:t>
      </w:r>
    </w:p>
    <w:p>
      <w:pPr>
        <w:spacing w:after="120" w:line="250"/>
      </w:pPr>
      <w:r>
        <w:rPr>
          <w:rFonts w:ascii="Calibri" w:cs="Calibri" w:eastAsia="Calibri" w:hAnsi="Calibri"/>
          <w:i/>
          <w:iCs/>
          <w:color w:val="555555"/>
          <w:sz w:val="17"/>
          <w:szCs w:val="17"/>
        </w:rPr>
        <w:t xml:space="preserve">Clock times below are calculated from the scheduled start of this slot and are a pacing guide, not a rigid script — adjust live if the programme is running early or late, but keep within the allotted duration so the next speaker is not delayed.</w:t>
      </w:r>
    </w:p>
    <w:tbl>
      <w:tblPr>
        <w:tblW w:type="dxa" w:w="9800"/>
        <w:tblBorders>
          <w:top w:val="single" w:color="auto" w:sz="4"/>
          <w:left w:val="single" w:color="auto" w:sz="4"/>
          <w:bottom w:val="single" w:color="auto" w:sz="4"/>
          <w:right w:val="single" w:color="auto" w:sz="4"/>
          <w:insideH w:val="single" w:color="auto" w:sz="4"/>
          <w:insideV w:val="single" w:color="auto" w:sz="4"/>
        </w:tblBorders>
      </w:tblPr>
      <w:tblGrid>
        <w:gridCol w:w="2600"/>
        <w:gridCol w:w="5400"/>
        <w:gridCol w:w="1800"/>
      </w:tblGrid>
      <w:tr>
        <w:trPr>
          <w:tblHeader/>
        </w:trPr>
        <w:tc>
          <w:tcPr>
            <w:tcW w:type="dxa" w:w="2600"/>
            <w:shd w:fill="0D1B3E" w:color="auto" w:val="clear"/>
            <w:tcMar>
              <w:top w:type="dxa" w:w="70"/>
              <w:left w:type="dxa" w:w="100"/>
              <w:bottom w:type="dxa" w:w="70"/>
              <w:right w:type="dxa" w:w="100"/>
            </w:tcMar>
            <w:vAlign w:val="center"/>
          </w:tcPr>
          <w:p>
            <w:r>
              <w:rPr>
                <w:rFonts w:ascii="Calibri" w:cs="Calibri" w:eastAsia="Calibri" w:hAnsi="Calibri"/>
                <w:b/>
                <w:bCs/>
                <w:color w:val="FFFFFF"/>
                <w:sz w:val="17"/>
                <w:szCs w:val="17"/>
              </w:rPr>
              <w:t xml:space="preserve">Clock Time</w:t>
            </w:r>
          </w:p>
        </w:tc>
        <w:tc>
          <w:tcPr>
            <w:tcW w:type="dxa" w:w="5400"/>
            <w:shd w:fill="0D1B3E" w:color="auto" w:val="clear"/>
            <w:tcMar>
              <w:top w:type="dxa" w:w="70"/>
              <w:left w:type="dxa" w:w="100"/>
              <w:bottom w:type="dxa" w:w="70"/>
              <w:right w:type="dxa" w:w="100"/>
            </w:tcMar>
            <w:vAlign w:val="center"/>
          </w:tcPr>
          <w:p>
            <w:r>
              <w:rPr>
                <w:rFonts w:ascii="Calibri" w:cs="Calibri" w:eastAsia="Calibri" w:hAnsi="Calibri"/>
                <w:b/>
                <w:bCs/>
                <w:color w:val="FFFFFF"/>
                <w:sz w:val="17"/>
                <w:szCs w:val="17"/>
              </w:rPr>
              <w:t xml:space="preserve">What Happens</w:t>
            </w:r>
          </w:p>
        </w:tc>
        <w:tc>
          <w:tcPr>
            <w:tcW w:type="dxa" w:w="1800"/>
            <w:shd w:fill="0D1B3E" w:color="auto" w:val="clear"/>
            <w:tcMar>
              <w:top w:type="dxa" w:w="70"/>
              <w:left w:type="dxa" w:w="100"/>
              <w:bottom w:type="dxa" w:w="70"/>
              <w:right w:type="dxa" w:w="100"/>
            </w:tcMar>
            <w:vAlign w:val="center"/>
          </w:tcPr>
          <w:p>
            <w:r>
              <w:rPr>
                <w:rFonts w:ascii="Calibri" w:cs="Calibri" w:eastAsia="Calibri" w:hAnsi="Calibri"/>
                <w:b/>
                <w:bCs/>
                <w:color w:val="FFFFFF"/>
                <w:sz w:val="17"/>
                <w:szCs w:val="17"/>
              </w:rPr>
              <w:t xml:space="preserve">Duration</w:t>
            </w:r>
          </w:p>
        </w:tc>
      </w:tr>
      <w:tr>
        <w:tc>
          <w:tcPr>
            <w:tcW w:type="dxa" w:w="2600"/>
            <w:shd w:fill="FFFFFF" w:color="auto" w:val="clear"/>
            <w:tcMar>
              <w:top w:type="dxa" w:w="60"/>
              <w:left w:type="dxa" w:w="100"/>
              <w:bottom w:type="dxa" w:w="60"/>
              <w:right w:type="dxa" w:w="100"/>
            </w:tcMar>
            <w:vAlign w:val="center"/>
          </w:tcPr>
          <w:p>
            <w:r>
              <w:rPr>
                <w:rFonts w:ascii="Calibri" w:cs="Calibri" w:eastAsia="Calibri" w:hAnsi="Calibri"/>
                <w:b/>
                <w:bCs/>
                <w:color w:val="0D1B3E"/>
                <w:sz w:val="18"/>
                <w:szCs w:val="18"/>
              </w:rPr>
              <w:t xml:space="preserve">11:25 – 11:27 AM</w:t>
            </w:r>
          </w:p>
        </w:tc>
        <w:tc>
          <w:tcPr>
            <w:tcW w:type="dxa" w:w="54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Opening &amp; framing remarks</w:t>
            </w:r>
          </w:p>
        </w:tc>
        <w:tc>
          <w:tcPr>
            <w:tcW w:type="dxa" w:w="18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2 min</w:t>
            </w:r>
          </w:p>
        </w:tc>
      </w:tr>
      <w:tr>
        <w:tc>
          <w:tcPr>
            <w:tcW w:type="dxa" w:w="2600"/>
            <w:shd w:fill="F7F1E3" w:color="auto" w:val="clear"/>
            <w:tcMar>
              <w:top w:type="dxa" w:w="60"/>
              <w:left w:type="dxa" w:w="100"/>
              <w:bottom w:type="dxa" w:w="60"/>
              <w:right w:type="dxa" w:w="100"/>
            </w:tcMar>
            <w:vAlign w:val="center"/>
          </w:tcPr>
          <w:p>
            <w:r>
              <w:rPr>
                <w:rFonts w:ascii="Calibri" w:cs="Calibri" w:eastAsia="Calibri" w:hAnsi="Calibri"/>
                <w:b/>
                <w:bCs/>
                <w:color w:val="0D1B3E"/>
                <w:sz w:val="18"/>
                <w:szCs w:val="18"/>
              </w:rPr>
              <w:t xml:space="preserve">11:27 – 11:32 AM</w:t>
            </w:r>
          </w:p>
        </w:tc>
        <w:tc>
          <w:tcPr>
            <w:tcW w:type="dxa" w:w="5400"/>
            <w:shd w:fill="F7F1E3"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Point 1 — An idea worth considering for India</w:t>
            </w:r>
          </w:p>
        </w:tc>
        <w:tc>
          <w:tcPr>
            <w:tcW w:type="dxa" w:w="1800"/>
            <w:shd w:fill="F7F1E3"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5 min</w:t>
            </w:r>
          </w:p>
        </w:tc>
      </w:tr>
      <w:tr>
        <w:tc>
          <w:tcPr>
            <w:tcW w:type="dxa" w:w="2600"/>
            <w:shd w:fill="FFFFFF" w:color="auto" w:val="clear"/>
            <w:tcMar>
              <w:top w:type="dxa" w:w="60"/>
              <w:left w:type="dxa" w:w="100"/>
              <w:bottom w:type="dxa" w:w="60"/>
              <w:right w:type="dxa" w:w="100"/>
            </w:tcMar>
            <w:vAlign w:val="center"/>
          </w:tcPr>
          <w:p>
            <w:r>
              <w:rPr>
                <w:rFonts w:ascii="Calibri" w:cs="Calibri" w:eastAsia="Calibri" w:hAnsi="Calibri"/>
                <w:b/>
                <w:bCs/>
                <w:color w:val="0D1B3E"/>
                <w:sz w:val="18"/>
                <w:szCs w:val="18"/>
              </w:rPr>
              <w:t xml:space="preserve">11:32 – 11:37 AM</w:t>
            </w:r>
          </w:p>
        </w:tc>
        <w:tc>
          <w:tcPr>
            <w:tcW w:type="dxa" w:w="54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Point 2 — Building on India's strengths</w:t>
            </w:r>
          </w:p>
        </w:tc>
        <w:tc>
          <w:tcPr>
            <w:tcW w:type="dxa" w:w="18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5 min</w:t>
            </w:r>
          </w:p>
        </w:tc>
      </w:tr>
      <w:tr>
        <w:tc>
          <w:tcPr>
            <w:tcW w:type="dxa" w:w="2600"/>
            <w:shd w:fill="F7F1E3" w:color="auto" w:val="clear"/>
            <w:tcMar>
              <w:top w:type="dxa" w:w="60"/>
              <w:left w:type="dxa" w:w="100"/>
              <w:bottom w:type="dxa" w:w="60"/>
              <w:right w:type="dxa" w:w="100"/>
            </w:tcMar>
            <w:vAlign w:val="center"/>
          </w:tcPr>
          <w:p>
            <w:r>
              <w:rPr>
                <w:rFonts w:ascii="Calibri" w:cs="Calibri" w:eastAsia="Calibri" w:hAnsi="Calibri"/>
                <w:b/>
                <w:bCs/>
                <w:color w:val="0D1B3E"/>
                <w:sz w:val="18"/>
                <w:szCs w:val="18"/>
              </w:rPr>
              <w:t xml:space="preserve">11:37 – 11:42 AM</w:t>
            </w:r>
          </w:p>
        </w:tc>
        <w:tc>
          <w:tcPr>
            <w:tcW w:type="dxa" w:w="5400"/>
            <w:shd w:fill="F7F1E3"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Point 3 — Working together for the future</w:t>
            </w:r>
          </w:p>
        </w:tc>
        <w:tc>
          <w:tcPr>
            <w:tcW w:type="dxa" w:w="1800"/>
            <w:shd w:fill="F7F1E3"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5 min</w:t>
            </w:r>
          </w:p>
        </w:tc>
      </w:tr>
      <w:tr>
        <w:tc>
          <w:tcPr>
            <w:tcW w:type="dxa" w:w="2600"/>
            <w:shd w:fill="FFFFFF" w:color="auto" w:val="clear"/>
            <w:tcMar>
              <w:top w:type="dxa" w:w="60"/>
              <w:left w:type="dxa" w:w="100"/>
              <w:bottom w:type="dxa" w:w="60"/>
              <w:right w:type="dxa" w:w="100"/>
            </w:tcMar>
            <w:vAlign w:val="center"/>
          </w:tcPr>
          <w:p>
            <w:r>
              <w:rPr>
                <w:rFonts w:ascii="Calibri" w:cs="Calibri" w:eastAsia="Calibri" w:hAnsi="Calibri"/>
                <w:b/>
                <w:bCs/>
                <w:color w:val="0D1B3E"/>
                <w:sz w:val="18"/>
                <w:szCs w:val="18"/>
              </w:rPr>
              <w:t xml:space="preserve">11:42 – 11:45 AM</w:t>
            </w:r>
          </w:p>
        </w:tc>
        <w:tc>
          <w:tcPr>
            <w:tcW w:type="dxa" w:w="54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Closing remarks</w:t>
            </w:r>
          </w:p>
        </w:tc>
        <w:tc>
          <w:tcPr>
            <w:tcW w:type="dxa" w:w="1800"/>
            <w:shd w:fill="FFFFFF" w:color="auto" w:val="clear"/>
            <w:tcMar>
              <w:top w:type="dxa" w:w="60"/>
              <w:left w:type="dxa" w:w="100"/>
              <w:bottom w:type="dxa" w:w="60"/>
              <w:right w:type="dxa" w:w="100"/>
            </w:tcMar>
            <w:vAlign w:val="center"/>
          </w:tcPr>
          <w:p>
            <w:r>
              <w:rPr>
                <w:rFonts w:ascii="Calibri" w:cs="Calibri" w:eastAsia="Calibri" w:hAnsi="Calibri"/>
                <w:b w:val="false"/>
                <w:bCs w:val="false"/>
                <w:color w:val="222222"/>
                <w:sz w:val="18"/>
                <w:szCs w:val="18"/>
              </w:rPr>
              <w:t xml:space="preserve">3 min</w:t>
            </w:r>
          </w:p>
        </w:tc>
      </w:tr>
    </w:tbl>
    <w:p>
      <w:pPr>
        <w:spacing w:after="160"/>
      </w:pPr>
    </w:p>
    <w:p>
      <w:pPr>
        <w:pStyle w:val="Heading1"/>
        <w:pBdr>
          <w:bottom w:val="single" w:color="C8972A" w:sz="8" w:space="6"/>
        </w:pBdr>
        <w:spacing w:after="100" w:before="300"/>
      </w:pPr>
      <w:r>
        <w:rPr>
          <w:rFonts w:ascii="Cambria" w:cs="Cambria" w:eastAsia="Cambria" w:hAnsi="Cambria"/>
          <w:b/>
          <w:bCs/>
          <w:color w:val="0D1B3E"/>
          <w:sz w:val="27"/>
          <w:szCs w:val="27"/>
        </w:rPr>
        <w:t xml:space="preserve">Speech Script</w:t>
      </w:r>
    </w:p>
    <w:p>
      <w:pPr>
        <w:spacing w:after="120" w:line="250"/>
      </w:pPr>
      <w:r>
        <w:rPr>
          <w:rFonts w:ascii="Calibri" w:cs="Calibri" w:eastAsia="Calibri" w:hAnsi="Calibri"/>
          <w:i/>
          <w:iCs/>
          <w:color w:val="555555"/>
          <w:sz w:val="17"/>
          <w:szCs w:val="17"/>
        </w:rPr>
        <w:t xml:space="preserve">This is a general, illustrative draft on the seminar's theme — not based on this resource person's actual unpublished research, personal data, or institutional findings. Please review, personalize with your own examples and knowledge, and verify every fact before speaking, especially in front of two Hon'ble Ministers, an international audience, and a livestream.</w:t>
      </w:r>
    </w:p>
    <w:p>
      <w:pPr>
        <w:spacing w:after="130" w:line="300"/>
      </w:pPr>
      <w:r>
        <w:rPr>
          <w:rFonts w:ascii="Calibri" w:cs="Calibri" w:eastAsia="Calibri" w:hAnsi="Calibri"/>
          <w:color w:val="222222"/>
          <w:sz w:val="21"/>
          <w:szCs w:val="21"/>
        </w:rPr>
        <w:t xml:space="preserve">Respected Chief Guests, Chief Patron, Secretary, fellow resource persons, and friends — thank you for welcoming me so warmly to this seminar, and for the chance to speak on India's journey in teacher training.</w:t>
      </w:r>
    </w:p>
    <w:p>
      <w:pPr>
        <w:spacing w:after="130" w:line="300"/>
      </w:pPr>
      <w:r>
        <w:rPr>
          <w:rFonts w:ascii="Calibri" w:cs="Calibri" w:eastAsia="Calibri" w:hAnsi="Calibri"/>
          <w:color w:val="222222"/>
          <w:sz w:val="21"/>
          <w:szCs w:val="21"/>
        </w:rPr>
        <w:t xml:space="preserve">India is working hard to reimagine teacher training for the 21st century. As a friend visiting from Sri Lanka, I want to share a few simple ideas that may support India's own efforts.</w:t>
      </w:r>
    </w:p>
    <w:p>
      <w:pPr>
        <w:spacing w:after="30" w:before="100"/>
      </w:pPr>
      <w:r>
        <w:rPr>
          <w:rFonts w:ascii="Calibri" w:cs="Calibri" w:eastAsia="Calibri" w:hAnsi="Calibri"/>
          <w:b/>
          <w:bCs/>
          <w:i/>
          <w:iCs/>
          <w:color w:val="9C7620"/>
          <w:sz w:val="18"/>
          <w:szCs w:val="18"/>
        </w:rPr>
        <w:t xml:space="preserve">Point 1 — An idea worth considering for India</w:t>
      </w:r>
    </w:p>
    <w:p>
      <w:pPr>
        <w:spacing w:after="130" w:line="300"/>
      </w:pPr>
      <w:r>
        <w:rPr>
          <w:rFonts w:ascii="Calibri" w:cs="Calibri" w:eastAsia="Calibri" w:hAnsi="Calibri"/>
          <w:color w:val="222222"/>
          <w:sz w:val="21"/>
          <w:szCs w:val="21"/>
        </w:rPr>
        <w:t xml:space="preserve">In many strong education systems, new teachers receive close support and guidance in their first years of teaching. A senior teacher walks with them, step by step. This simple idea can help India too. When new teachers get this kind of support, they teach with more confidence, and they stay longer in the profession.</w:t>
      </w:r>
    </w:p>
    <w:p>
      <w:pPr>
        <w:spacing w:after="30" w:before="100"/>
      </w:pPr>
      <w:r>
        <w:rPr>
          <w:rFonts w:ascii="Calibri" w:cs="Calibri" w:eastAsia="Calibri" w:hAnsi="Calibri"/>
          <w:b/>
          <w:bCs/>
          <w:i/>
          <w:iCs/>
          <w:color w:val="9C7620"/>
          <w:sz w:val="18"/>
          <w:szCs w:val="18"/>
        </w:rPr>
        <w:t xml:space="preserve">Point 2 — Building on India's strengths</w:t>
      </w:r>
    </w:p>
    <w:p>
      <w:pPr>
        <w:spacing w:after="130" w:line="300"/>
      </w:pPr>
      <w:r>
        <w:rPr>
          <w:rFonts w:ascii="Calibri" w:cs="Calibri" w:eastAsia="Calibri" w:hAnsi="Calibri"/>
          <w:color w:val="222222"/>
          <w:sz w:val="21"/>
          <w:szCs w:val="21"/>
        </w:rPr>
        <w:t xml:space="preserve">India already has many strong teacher-training colleges and a bold new policy in NEP 2020. Adding a simple, structured mentoring system — where experienced teachers guide new ones — can make India's teacher-training colleges even stronger.</w:t>
      </w:r>
    </w:p>
    <w:p>
      <w:pPr>
        <w:spacing w:after="30" w:before="100"/>
      </w:pPr>
      <w:r>
        <w:rPr>
          <w:rFonts w:ascii="Calibri" w:cs="Calibri" w:eastAsia="Calibri" w:hAnsi="Calibri"/>
          <w:b/>
          <w:bCs/>
          <w:i/>
          <w:iCs/>
          <w:color w:val="9C7620"/>
          <w:sz w:val="18"/>
          <w:szCs w:val="18"/>
        </w:rPr>
        <w:t xml:space="preserve">Point 3 — Working together for the future</w:t>
      </w:r>
    </w:p>
    <w:p>
      <w:pPr>
        <w:spacing w:after="130" w:line="300"/>
      </w:pPr>
      <w:r>
        <w:rPr>
          <w:rFonts w:ascii="Calibri" w:cs="Calibri" w:eastAsia="Calibri" w:hAnsi="Calibri"/>
          <w:color w:val="222222"/>
          <w:sz w:val="21"/>
          <w:szCs w:val="21"/>
        </w:rPr>
        <w:t xml:space="preserve">India and Sri Lanka can learn a great deal from each other. Sharing training ideas, teaching materials, and exchange visits between colleges can support both nations. For India, this kind of exchange can add extra strength to the journey towards Vikshit Bharat 2047.</w:t>
      </w:r>
    </w:p>
    <w:p>
      <w:pPr>
        <w:spacing w:after="130" w:line="300"/>
      </w:pPr>
      <w:r>
        <w:rPr>
          <w:rFonts w:ascii="Calibri" w:cs="Calibri" w:eastAsia="Calibri" w:hAnsi="Calibri"/>
          <w:color w:val="222222"/>
          <w:sz w:val="21"/>
          <w:szCs w:val="21"/>
        </w:rPr>
        <w:t xml:space="preserve">I am grateful to Baikuntha College of Education for welcoming a friend from Sri Lanka into India's important seminar. Thank you.</w:t>
      </w:r>
    </w:p>
    <w:sectPr>
      <w:headerReference w:type="default" r:id="rId7"/>
      <w:footerReference w:type="default" r:id="rId8"/>
      <w:pgSz w:w="11906" w:h="16838" w:orient="portrait"/>
      <w:pgMar w:top="900" w:right="1000" w:bottom="95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4"/>
      </w:pBdr>
      <w:spacing w:after="15"/>
      <w:jc w:val="center"/>
    </w:pPr>
    <w:r>
      <w:rPr>
        <w:rFonts w:ascii="Calibri" w:cs="Calibri" w:eastAsia="Calibri" w:hAnsi="Calibri"/>
        <w:b/>
        <w:bCs/>
        <w:color w:val="0D1B3E"/>
        <w:sz w:val="14"/>
        <w:szCs w:val="14"/>
      </w:rPr>
      <w:t xml:space="preserve">Baikuntha College of Education  ·  International Seminar 2026</w:t>
    </w:r>
  </w:p>
  <w:p>
    <w:pPr>
      <w:spacing w:after="20"/>
      <w:jc w:val="center"/>
    </w:pPr>
    <w:r>
      <w:rPr>
        <w:rFonts w:ascii="Calibri" w:cs="Calibri" w:eastAsia="Calibri" w:hAnsi="Calibri"/>
        <w:i/>
        <w:iCs/>
        <w:color w:val="555555"/>
        <w:sz w:val="13"/>
        <w:szCs w:val="13"/>
      </w:rPr>
      <w:t xml:space="preserve">Organizing Partner: Onusandhanapp.com — powered by Topic Engine (www.topicengine.co.in)</w:t>
    </w:r>
  </w:p>
  <w:p>
    <w:pPr>
      <w:jc w:val="center"/>
    </w:pPr>
    <w:r>
      <w:rPr>
        <w:rFonts w:ascii="Calibri" w:cs="Calibri" w:eastAsia="Calibri" w:hAnsi="Calibri"/>
        <w:color w:val="555555"/>
        <w:sz w:val="14"/>
        <w:szCs w:val="14"/>
      </w:rPr>
      <w:t xml:space="preserve">Page </w:t>
    </w:r>
    <w:r>
      <w:rPr>
        <w:rFonts w:ascii="Calibri" w:cs="Calibri" w:eastAsia="Calibri" w:hAnsi="Calibri"/>
        <w:color w:val="555555"/>
        <w:sz w:val="14"/>
        <w:szCs w:val="14"/>
      </w:rPr>
      <w:fldChar w:fldCharType="begin"/>
      <w:instrText xml:space="preserve">PAGE</w:instrText>
      <w:fldChar w:fldCharType="separate"/>
      <w:fldChar w:fldCharType="end"/>
    </w:r>
    <w:r>
      <w:rPr>
        <w:rFonts w:ascii="Calibri" w:cs="Calibri" w:eastAsia="Calibri" w:hAnsi="Calibri"/>
        <w:color w:val="555555"/>
        <w:sz w:val="14"/>
        <w:szCs w:val="14"/>
      </w:rPr>
      <w:t xml:space="preserve"> of </w:t>
    </w:r>
    <w:r>
      <w:rPr>
        <w:rFonts w:ascii="Calibri" w:cs="Calibri" w:eastAsia="Calibri" w:hAnsi="Calibri"/>
        <w:color w:val="555555"/>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4" w:space="2"/>
      </w:pBdr>
      <w:jc w:val="right"/>
    </w:pPr>
    <w:r>
      <w:rPr>
        <w:rFonts w:ascii="Calibri" w:cs="Calibri" w:eastAsia="Calibri" w:hAnsi="Calibri"/>
        <w:color w:val="555555"/>
        <w:sz w:val="13"/>
        <w:szCs w:val="13"/>
      </w:rPr>
      <w:t xml:space="preserve">Baikuntha College of Education · International Seminar 2026 · Speech Script — Mr. Daya Dissanayake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2026-08-26T09:50:02.287Z</dcterms:created>
  <dcterms:modified xsi:type="dcterms:W3CDTF">2026-08-26T09:50:02.287Z</dcterms:modified>
</cp:coreProperties>
</file>

<file path=docProps/custom.xml><?xml version="1.0" encoding="utf-8"?>
<Properties xmlns="http://schemas.openxmlformats.org/officeDocument/2006/custom-properties" xmlns:vt="http://schemas.openxmlformats.org/officeDocument/2006/docPropsVTypes"/>
</file>