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 w:before="60"/>
        <w:jc w:val="center"/>
      </w:pPr>
      <w:r>
        <w:rPr>
          <w:rFonts w:ascii="Calibri" w:cs="Calibri" w:eastAsia="Calibri" w:hAnsi="Calibri"/>
          <w:b/>
          <w:bCs/>
          <w:color w:val="9C7620"/>
          <w:sz w:val="17"/>
          <w:szCs w:val="17"/>
        </w:rPr>
        <w:t xml:space="preserve">IQAC · BAIKUNTHA COLLEGE OF EDUCATION</w:t>
      </w:r>
    </w:p>
    <w:p>
      <w:pPr>
        <w:spacing w:after="10" w:before="40"/>
        <w:jc w:val="center"/>
      </w:pPr>
      <w:r>
        <w:rPr>
          <w:rFonts w:ascii="Cambria" w:cs="Cambria" w:eastAsia="Cambria" w:hAnsi="Cambria"/>
          <w:b/>
          <w:bCs/>
          <w:color w:val="0D1B3E"/>
          <w:sz w:val="22"/>
          <w:szCs w:val="22"/>
        </w:rPr>
        <w:t xml:space="preserve">COLLEGE MANAGEMENT SPEECH SCRIPT</w:t>
      </w:r>
    </w:p>
    <w:p>
      <w:pPr>
        <w:spacing w:after="6" w:before="60"/>
        <w:jc w:val="center"/>
      </w:pPr>
      <w:r>
        <w:rPr>
          <w:rFonts w:ascii="Cambria" w:cs="Cambria" w:eastAsia="Cambria" w:hAnsi="Cambria"/>
          <w:b/>
          <w:bCs/>
          <w:color w:val="9C7620"/>
          <w:sz w:val="32"/>
          <w:szCs w:val="32"/>
        </w:rPr>
        <w:t xml:space="preserve">Mr. Sanat Kumar Bhowmik</w:t>
      </w:r>
    </w:p>
    <w:p>
      <w:pPr>
        <w:spacing w:after="6"/>
        <w:jc w:val="center"/>
      </w:pPr>
      <w:r>
        <w:rPr>
          <w:rFonts w:ascii="Calibri" w:cs="Calibri" w:eastAsia="Calibri" w:hAnsi="Calibri"/>
          <w:color w:val="222222"/>
          <w:sz w:val="19"/>
          <w:szCs w:val="19"/>
        </w:rPr>
        <w:t xml:space="preserve">President / Chief Patron, Baikuntha College of Education</w:t>
      </w:r>
    </w:p>
    <w:p>
      <w:pPr>
        <w:spacing w:after="160"/>
        <w:jc w:val="center"/>
      </w:pPr>
      <w:r>
        <w:rPr>
          <w:rFonts w:ascii="Calibri" w:cs="Calibri" w:eastAsia="Calibri" w:hAnsi="Calibri"/>
          <w:color w:val="555555"/>
          <w:sz w:val="15"/>
          <w:szCs w:val="15"/>
        </w:rPr>
        <w:t xml:space="preserve">International Seminar 2026 · 28 August 2026 · Multipurpose Hall, Baikuntha College of Education · Hybrid Mode</w:t>
      </w:r>
    </w:p>
    <w:tbl>
      <w:tblPr>
        <w:tblW w:type="dxa" w:w="9800"/>
        <w:tblBorders>
          <w:top w:val="single" w:color="C8972A" w:sz="8"/>
          <w:left w:val="single" w:color="C8972A" w:sz="8"/>
          <w:bottom w:val="single" w:color="C8972A" w:sz="8"/>
          <w:right w:val="single" w:color="C8972A" w:sz="8"/>
          <w:insideH w:val="single" w:color="E4D9BE" w:sz="2"/>
          <w:insideV w:val="single" w:color="E4D9BE" w:sz="2"/>
        </w:tblBorders>
      </w:tblPr>
      <w:tblGrid>
        <w:gridCol w:w="2700"/>
        <w:gridCol w:w="7100"/>
      </w:tblGrid>
      <w:tr>
        <w:tc>
          <w:tcPr>
            <w:tcW w:type="dxa" w:w="2700"/>
            <w:shd w:fill="FFFFFF" w:color="auto" w:val="clear"/>
            <w:tcMar>
              <w:top w:type="dxa" w:w="70"/>
              <w:left w:type="dxa" w:w="130"/>
              <w:bottom w:type="dxa" w:w="70"/>
              <w:right w:type="dxa" w:w="80"/>
            </w:tcMar>
            <w:vAlign w:val="center"/>
          </w:tcPr>
          <w:p>
            <w:r>
              <w:rPr>
                <w:rFonts w:ascii="Calibri" w:cs="Calibri" w:eastAsia="Calibri" w:hAnsi="Calibri"/>
                <w:b/>
                <w:bCs/>
                <w:color w:val="0D1B3E"/>
                <w:sz w:val="18"/>
                <w:szCs w:val="18"/>
              </w:rPr>
              <w:t xml:space="preserve">Session</w:t>
            </w:r>
          </w:p>
        </w:tc>
        <w:tc>
          <w:tcPr>
            <w:tcW w:type="dxa" w:w="7100"/>
            <w:shd w:fill="FFFFFF" w:color="auto" w:val="clear"/>
            <w:tcMar>
              <w:top w:type="dxa" w:w="70"/>
              <w:left w:type="dxa" w:w="100"/>
              <w:bottom w:type="dxa" w:w="70"/>
              <w:right w:type="dxa" w:w="130"/>
            </w:tcMar>
            <w:vAlign w:val="center"/>
          </w:tcPr>
          <w:p>
            <w:r>
              <w:rPr>
                <w:rFonts w:ascii="Calibri" w:cs="Calibri" w:eastAsia="Calibri" w:hAnsi="Calibri"/>
                <w:i/>
                <w:iCs/>
                <w:color w:val="222222"/>
                <w:sz w:val="18"/>
                <w:szCs w:val="18"/>
              </w:rPr>
              <w:t xml:space="preserve">Special Introductory Address</w:t>
            </w:r>
          </w:p>
        </w:tc>
      </w:tr>
      <w:tr>
        <w:tc>
          <w:tcPr>
            <w:tcW w:type="dxa" w:w="2700"/>
            <w:shd w:fill="F7F1E3" w:color="auto" w:val="clear"/>
            <w:tcMar>
              <w:top w:type="dxa" w:w="70"/>
              <w:left w:type="dxa" w:w="130"/>
              <w:bottom w:type="dxa" w:w="70"/>
              <w:right w:type="dxa" w:w="80"/>
            </w:tcMar>
            <w:vAlign w:val="center"/>
          </w:tcPr>
          <w:p>
            <w:r>
              <w:rPr>
                <w:rFonts w:ascii="Calibri" w:cs="Calibri" w:eastAsia="Calibri" w:hAnsi="Calibri"/>
                <w:b/>
                <w:bCs/>
                <w:color w:val="0D1B3E"/>
                <w:sz w:val="18"/>
                <w:szCs w:val="18"/>
              </w:rPr>
              <w:t xml:space="preserve">Scheduled Slot</w:t>
            </w:r>
          </w:p>
        </w:tc>
        <w:tc>
          <w:tcPr>
            <w:tcW w:type="dxa" w:w="7100"/>
            <w:shd w:fill="F7F1E3" w:color="auto" w:val="clear"/>
            <w:tcMar>
              <w:top w:type="dxa" w:w="70"/>
              <w:left w:type="dxa" w:w="100"/>
              <w:bottom w:type="dxa" w:w="70"/>
              <w:right w:type="dxa" w:w="130"/>
            </w:tcMar>
            <w:vAlign w:val="center"/>
          </w:tcPr>
          <w:p>
            <w:r>
              <w:rPr>
                <w:rFonts w:ascii="Calibri" w:cs="Calibri" w:eastAsia="Calibri" w:hAnsi="Calibri"/>
                <w:i/>
                <w:iCs/>
                <w:color w:val="222222"/>
                <w:sz w:val="18"/>
                <w:szCs w:val="18"/>
              </w:rPr>
              <w:t xml:space="preserve">10:15 – 10:20 AM</w:t>
            </w:r>
          </w:p>
        </w:tc>
      </w:tr>
      <w:tr>
        <w:tc>
          <w:tcPr>
            <w:tcW w:type="dxa" w:w="2700"/>
            <w:shd w:fill="FFFFFF" w:color="auto" w:val="clear"/>
            <w:tcMar>
              <w:top w:type="dxa" w:w="70"/>
              <w:left w:type="dxa" w:w="130"/>
              <w:bottom w:type="dxa" w:w="70"/>
              <w:right w:type="dxa" w:w="80"/>
            </w:tcMar>
            <w:vAlign w:val="center"/>
          </w:tcPr>
          <w:p>
            <w:r>
              <w:rPr>
                <w:rFonts w:ascii="Calibri" w:cs="Calibri" w:eastAsia="Calibri" w:hAnsi="Calibri"/>
                <w:b/>
                <w:bCs/>
                <w:color w:val="0D1B3E"/>
                <w:sz w:val="18"/>
                <w:szCs w:val="18"/>
              </w:rPr>
              <w:t xml:space="preserve">Allotted Duration</w:t>
            </w:r>
          </w:p>
        </w:tc>
        <w:tc>
          <w:tcPr>
            <w:tcW w:type="dxa" w:w="7100"/>
            <w:shd w:fill="FFFFFF" w:color="auto" w:val="clear"/>
            <w:tcMar>
              <w:top w:type="dxa" w:w="70"/>
              <w:left w:type="dxa" w:w="100"/>
              <w:bottom w:type="dxa" w:w="70"/>
              <w:right w:type="dxa" w:w="130"/>
            </w:tcMar>
            <w:vAlign w:val="center"/>
          </w:tcPr>
          <w:p>
            <w:r>
              <w:rPr>
                <w:rFonts w:ascii="Calibri" w:cs="Calibri" w:eastAsia="Calibri" w:hAnsi="Calibri"/>
                <w:i/>
                <w:iCs/>
                <w:color w:val="222222"/>
                <w:sz w:val="18"/>
                <w:szCs w:val="18"/>
              </w:rPr>
              <w:t xml:space="preserve">5 minutes</w:t>
            </w:r>
          </w:p>
        </w:tc>
      </w:tr>
      <w:tr>
        <w:tc>
          <w:tcPr>
            <w:tcW w:type="dxa" w:w="2700"/>
            <w:shd w:fill="F7F1E3" w:color="auto" w:val="clear"/>
            <w:tcMar>
              <w:top w:type="dxa" w:w="70"/>
              <w:left w:type="dxa" w:w="130"/>
              <w:bottom w:type="dxa" w:w="70"/>
              <w:right w:type="dxa" w:w="80"/>
            </w:tcMar>
            <w:vAlign w:val="center"/>
          </w:tcPr>
          <w:p>
            <w:r>
              <w:rPr>
                <w:rFonts w:ascii="Calibri" w:cs="Calibri" w:eastAsia="Calibri" w:hAnsi="Calibri"/>
                <w:b/>
                <w:bCs/>
                <w:color w:val="0D1B3E"/>
                <w:sz w:val="18"/>
                <w:szCs w:val="18"/>
              </w:rPr>
              <w:t xml:space="preserve">Suggested Length</w:t>
            </w:r>
          </w:p>
        </w:tc>
        <w:tc>
          <w:tcPr>
            <w:tcW w:type="dxa" w:w="7100"/>
            <w:shd w:fill="F7F1E3" w:color="auto" w:val="clear"/>
            <w:tcMar>
              <w:top w:type="dxa" w:w="70"/>
              <w:left w:type="dxa" w:w="100"/>
              <w:bottom w:type="dxa" w:w="70"/>
              <w:right w:type="dxa" w:w="130"/>
            </w:tcMar>
            <w:vAlign w:val="center"/>
          </w:tcPr>
          <w:p>
            <w:r>
              <w:rPr>
                <w:rFonts w:ascii="Calibri" w:cs="Calibri" w:eastAsia="Calibri" w:hAnsi="Calibri"/>
                <w:i/>
                <w:iCs/>
                <w:color w:val="222222"/>
                <w:sz w:val="18"/>
                <w:szCs w:val="18"/>
              </w:rPr>
              <w:t xml:space="preserve">Up to ~550 words (≈110–130 words/minute)</w:t>
            </w:r>
          </w:p>
        </w:tc>
      </w:tr>
      <w:tr>
        <w:tc>
          <w:tcPr>
            <w:tcW w:type="dxa" w:w="2700"/>
            <w:shd w:fill="FFFFFF" w:color="auto" w:val="clear"/>
            <w:tcMar>
              <w:top w:type="dxa" w:w="70"/>
              <w:left w:type="dxa" w:w="130"/>
              <w:bottom w:type="dxa" w:w="70"/>
              <w:right w:type="dxa" w:w="80"/>
            </w:tcMar>
            <w:vAlign w:val="center"/>
          </w:tcPr>
          <w:p>
            <w:r>
              <w:rPr>
                <w:rFonts w:ascii="Calibri" w:cs="Calibri" w:eastAsia="Calibri" w:hAnsi="Calibri"/>
                <w:b/>
                <w:bCs/>
                <w:color w:val="0D1B3E"/>
                <w:sz w:val="18"/>
                <w:szCs w:val="18"/>
              </w:rPr>
              <w:t xml:space="preserve">Anchor's Introduction Cue</w:t>
            </w:r>
          </w:p>
        </w:tc>
        <w:tc>
          <w:tcPr>
            <w:tcW w:type="dxa" w:w="7100"/>
            <w:shd w:fill="FFFFFF" w:color="auto" w:val="clear"/>
            <w:tcMar>
              <w:top w:type="dxa" w:w="70"/>
              <w:left w:type="dxa" w:w="100"/>
              <w:bottom w:type="dxa" w:w="70"/>
              <w:right w:type="dxa" w:w="130"/>
            </w:tcMar>
            <w:vAlign w:val="center"/>
          </w:tcPr>
          <w:p>
            <w:r>
              <w:rPr>
                <w:rFonts w:ascii="Calibri" w:cs="Calibri" w:eastAsia="Calibri" w:hAnsi="Calibri"/>
                <w:i/>
                <w:iCs/>
                <w:color w:val="222222"/>
                <w:sz w:val="18"/>
                <w:szCs w:val="18"/>
              </w:rPr>
              <w:t xml:space="preserve">“It is now my privilege to invite our Chief Patron and President of Baikuntha College of Education, Mr. Sanat Kumar Bhowmik, to deliver the Special Introductory Address.”</w:t>
            </w:r>
          </w:p>
        </w:tc>
      </w:tr>
      <w:tr>
        <w:tc>
          <w:tcPr>
            <w:tcW w:type="dxa" w:w="2700"/>
            <w:shd w:fill="F7F1E3" w:color="auto" w:val="clear"/>
            <w:tcMar>
              <w:top w:type="dxa" w:w="70"/>
              <w:left w:type="dxa" w:w="130"/>
              <w:bottom w:type="dxa" w:w="70"/>
              <w:right w:type="dxa" w:w="80"/>
            </w:tcMar>
            <w:vAlign w:val="center"/>
          </w:tcPr>
          <w:p>
            <w:r>
              <w:rPr>
                <w:rFonts w:ascii="Calibri" w:cs="Calibri" w:eastAsia="Calibri" w:hAnsi="Calibri"/>
                <w:b/>
                <w:bCs/>
                <w:color w:val="0D1B3E"/>
                <w:sz w:val="18"/>
                <w:szCs w:val="18"/>
              </w:rPr>
              <w:t xml:space="preserve">Anchor's Closing Line</w:t>
            </w:r>
          </w:p>
        </w:tc>
        <w:tc>
          <w:tcPr>
            <w:tcW w:type="dxa" w:w="7100"/>
            <w:shd w:fill="F7F1E3" w:color="auto" w:val="clear"/>
            <w:tcMar>
              <w:top w:type="dxa" w:w="70"/>
              <w:left w:type="dxa" w:w="100"/>
              <w:bottom w:type="dxa" w:w="70"/>
              <w:right w:type="dxa" w:w="130"/>
            </w:tcMar>
            <w:vAlign w:val="center"/>
          </w:tcPr>
          <w:p>
            <w:r>
              <w:rPr>
                <w:rFonts w:ascii="Calibri" w:cs="Calibri" w:eastAsia="Calibri" w:hAnsi="Calibri"/>
                <w:i/>
                <w:iCs/>
                <w:color w:val="222222"/>
                <w:sz w:val="18"/>
                <w:szCs w:val="18"/>
              </w:rPr>
              <w:t xml:space="preserve">“Thank you, Sir, for placing today's seminar in such a meaningful perspective.”</w:t>
            </w:r>
          </w:p>
        </w:tc>
      </w:tr>
    </w:tbl>
    <w:p>
      <w:pPr>
        <w:spacing w:after="140"/>
      </w:pPr>
    </w:p>
    <w:p>
      <w:pPr>
        <w:pStyle w:val="Heading1"/>
        <w:pBdr>
          <w:bottom w:val="single" w:color="C8972A" w:sz="8" w:space="6"/>
        </w:pBdr>
        <w:spacing w:after="100" w:before="300"/>
      </w:pPr>
      <w:r>
        <w:rPr>
          <w:rFonts w:ascii="Cambria" w:cs="Cambria" w:eastAsia="Cambria" w:hAnsi="Cambria"/>
          <w:b/>
          <w:bCs/>
          <w:color w:val="0D1B3E"/>
          <w:sz w:val="27"/>
          <w:szCs w:val="27"/>
        </w:rPr>
        <w:t xml:space="preserve">Timing &amp; Pacing Guide</w:t>
      </w:r>
    </w:p>
    <w:p>
      <w:pPr>
        <w:spacing w:after="120" w:line="250"/>
      </w:pPr>
      <w:r>
        <w:rPr>
          <w:rFonts w:ascii="Calibri" w:cs="Calibri" w:eastAsia="Calibri" w:hAnsi="Calibri"/>
          <w:i/>
          <w:iCs/>
          <w:color w:val="555555"/>
          <w:sz w:val="17"/>
          <w:szCs w:val="17"/>
        </w:rPr>
        <w:t xml:space="preserve">Clock times below are calculated from the scheduled start of this slot and are a pacing guide, not a rigid script — adjust live if the programme is running early or late, but keep within the allotted duration so the next segment is not delayed.</w:t>
      </w:r>
    </w:p>
    <w:tbl>
      <w:tblPr>
        <w:tblW w:type="dxa" w:w="9800"/>
        <w:tblBorders>
          <w:top w:val="single" w:color="auto" w:sz="4"/>
          <w:left w:val="single" w:color="auto" w:sz="4"/>
          <w:bottom w:val="single" w:color="auto" w:sz="4"/>
          <w:right w:val="single" w:color="auto" w:sz="4"/>
          <w:insideH w:val="single" w:color="auto" w:sz="4"/>
          <w:insideV w:val="single" w:color="auto" w:sz="4"/>
        </w:tblBorders>
      </w:tblPr>
      <w:tblGrid>
        <w:gridCol w:w="2600"/>
        <w:gridCol w:w="5400"/>
        <w:gridCol w:w="1800"/>
      </w:tblGrid>
      <w:tr>
        <w:trPr>
          <w:tblHeader/>
        </w:trPr>
        <w:tc>
          <w:tcPr>
            <w:tcW w:type="dxa" w:w="2600"/>
            <w:shd w:fill="0D1B3E" w:color="auto" w:val="clear"/>
            <w:tcMar>
              <w:top w:type="dxa" w:w="70"/>
              <w:left w:type="dxa" w:w="100"/>
              <w:bottom w:type="dxa" w:w="70"/>
              <w:right w:type="dxa" w:w="100"/>
            </w:tcMar>
            <w:vAlign w:val="center"/>
          </w:tcPr>
          <w:p>
            <w:r>
              <w:rPr>
                <w:rFonts w:ascii="Calibri" w:cs="Calibri" w:eastAsia="Calibri" w:hAnsi="Calibri"/>
                <w:b/>
                <w:bCs/>
                <w:color w:val="FFFFFF"/>
                <w:sz w:val="17"/>
                <w:szCs w:val="17"/>
              </w:rPr>
              <w:t xml:space="preserve">Clock Time</w:t>
            </w:r>
          </w:p>
        </w:tc>
        <w:tc>
          <w:tcPr>
            <w:tcW w:type="dxa" w:w="5400"/>
            <w:shd w:fill="0D1B3E" w:color="auto" w:val="clear"/>
            <w:tcMar>
              <w:top w:type="dxa" w:w="70"/>
              <w:left w:type="dxa" w:w="100"/>
              <w:bottom w:type="dxa" w:w="70"/>
              <w:right w:type="dxa" w:w="100"/>
            </w:tcMar>
            <w:vAlign w:val="center"/>
          </w:tcPr>
          <w:p>
            <w:r>
              <w:rPr>
                <w:rFonts w:ascii="Calibri" w:cs="Calibri" w:eastAsia="Calibri" w:hAnsi="Calibri"/>
                <w:b/>
                <w:bCs/>
                <w:color w:val="FFFFFF"/>
                <w:sz w:val="17"/>
                <w:szCs w:val="17"/>
              </w:rPr>
              <w:t xml:space="preserve">What Happens</w:t>
            </w:r>
          </w:p>
        </w:tc>
        <w:tc>
          <w:tcPr>
            <w:tcW w:type="dxa" w:w="1800"/>
            <w:shd w:fill="0D1B3E" w:color="auto" w:val="clear"/>
            <w:tcMar>
              <w:top w:type="dxa" w:w="70"/>
              <w:left w:type="dxa" w:w="100"/>
              <w:bottom w:type="dxa" w:w="70"/>
              <w:right w:type="dxa" w:w="100"/>
            </w:tcMar>
            <w:vAlign w:val="center"/>
          </w:tcPr>
          <w:p>
            <w:r>
              <w:rPr>
                <w:rFonts w:ascii="Calibri" w:cs="Calibri" w:eastAsia="Calibri" w:hAnsi="Calibri"/>
                <w:b/>
                <w:bCs/>
                <w:color w:val="FFFFFF"/>
                <w:sz w:val="17"/>
                <w:szCs w:val="17"/>
              </w:rPr>
              <w:t xml:space="preserve">Duration</w:t>
            </w:r>
          </w:p>
        </w:tc>
      </w:tr>
      <w:tr>
        <w:tc>
          <w:tcPr>
            <w:tcW w:type="dxa" w:w="2600"/>
            <w:shd w:fill="FFFFFF" w:color="auto" w:val="clear"/>
            <w:tcMar>
              <w:top w:type="dxa" w:w="60"/>
              <w:left w:type="dxa" w:w="100"/>
              <w:bottom w:type="dxa" w:w="60"/>
              <w:right w:type="dxa" w:w="100"/>
            </w:tcMar>
            <w:vAlign w:val="center"/>
          </w:tcPr>
          <w:p>
            <w:r>
              <w:rPr>
                <w:rFonts w:ascii="Calibri" w:cs="Calibri" w:eastAsia="Calibri" w:hAnsi="Calibri"/>
                <w:b/>
                <w:bCs/>
                <w:color w:val="0D1B3E"/>
                <w:sz w:val="18"/>
                <w:szCs w:val="18"/>
              </w:rPr>
              <w:t xml:space="preserve">10:15 – 10:16 AM</w:t>
            </w:r>
          </w:p>
        </w:tc>
        <w:tc>
          <w:tcPr>
            <w:tcW w:type="dxa" w:w="5400"/>
            <w:shd w:fill="FFFFFF"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Acknowledging the Secretary and the dais</w:t>
            </w:r>
          </w:p>
        </w:tc>
        <w:tc>
          <w:tcPr>
            <w:tcW w:type="dxa" w:w="1800"/>
            <w:shd w:fill="FFFFFF"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1 min</w:t>
            </w:r>
          </w:p>
        </w:tc>
      </w:tr>
      <w:tr>
        <w:tc>
          <w:tcPr>
            <w:tcW w:type="dxa" w:w="2600"/>
            <w:shd w:fill="F7F1E3" w:color="auto" w:val="clear"/>
            <w:tcMar>
              <w:top w:type="dxa" w:w="60"/>
              <w:left w:type="dxa" w:w="100"/>
              <w:bottom w:type="dxa" w:w="60"/>
              <w:right w:type="dxa" w:w="100"/>
            </w:tcMar>
            <w:vAlign w:val="center"/>
          </w:tcPr>
          <w:p>
            <w:r>
              <w:rPr>
                <w:rFonts w:ascii="Calibri" w:cs="Calibri" w:eastAsia="Calibri" w:hAnsi="Calibri"/>
                <w:b/>
                <w:bCs/>
                <w:color w:val="0D1B3E"/>
                <w:sz w:val="18"/>
                <w:szCs w:val="18"/>
              </w:rPr>
              <w:t xml:space="preserve">10:16 – 10:17 AM</w:t>
            </w:r>
          </w:p>
        </w:tc>
        <w:tc>
          <w:tcPr>
            <w:tcW w:type="dxa" w:w="5400"/>
            <w:shd w:fill="F7F1E3"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Why BCE has taken up this seminar theme</w:t>
            </w:r>
          </w:p>
        </w:tc>
        <w:tc>
          <w:tcPr>
            <w:tcW w:type="dxa" w:w="1800"/>
            <w:shd w:fill="F7F1E3"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1 min</w:t>
            </w:r>
          </w:p>
        </w:tc>
      </w:tr>
      <w:tr>
        <w:tc>
          <w:tcPr>
            <w:tcW w:type="dxa" w:w="2600"/>
            <w:shd w:fill="FFFFFF" w:color="auto" w:val="clear"/>
            <w:tcMar>
              <w:top w:type="dxa" w:w="60"/>
              <w:left w:type="dxa" w:w="100"/>
              <w:bottom w:type="dxa" w:w="60"/>
              <w:right w:type="dxa" w:w="100"/>
            </w:tcMar>
            <w:vAlign w:val="center"/>
          </w:tcPr>
          <w:p>
            <w:r>
              <w:rPr>
                <w:rFonts w:ascii="Calibri" w:cs="Calibri" w:eastAsia="Calibri" w:hAnsi="Calibri"/>
                <w:b/>
                <w:bCs/>
                <w:color w:val="0D1B3E"/>
                <w:sz w:val="18"/>
                <w:szCs w:val="18"/>
              </w:rPr>
              <w:t xml:space="preserve">10:17 – 10:18 AM</w:t>
            </w:r>
          </w:p>
        </w:tc>
        <w:tc>
          <w:tcPr>
            <w:tcW w:type="dxa" w:w="5400"/>
            <w:shd w:fill="FFFFFF"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The seminar in the context of Vikshit Bharat 2047</w:t>
            </w:r>
          </w:p>
        </w:tc>
        <w:tc>
          <w:tcPr>
            <w:tcW w:type="dxa" w:w="1800"/>
            <w:shd w:fill="FFFFFF"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1 min</w:t>
            </w:r>
          </w:p>
        </w:tc>
      </w:tr>
      <w:tr>
        <w:tc>
          <w:tcPr>
            <w:tcW w:type="dxa" w:w="2600"/>
            <w:shd w:fill="F7F1E3" w:color="auto" w:val="clear"/>
            <w:tcMar>
              <w:top w:type="dxa" w:w="60"/>
              <w:left w:type="dxa" w:w="100"/>
              <w:bottom w:type="dxa" w:w="60"/>
              <w:right w:type="dxa" w:w="100"/>
            </w:tcMar>
            <w:vAlign w:val="center"/>
          </w:tcPr>
          <w:p>
            <w:r>
              <w:rPr>
                <w:rFonts w:ascii="Calibri" w:cs="Calibri" w:eastAsia="Calibri" w:hAnsi="Calibri"/>
                <w:b/>
                <w:bCs/>
                <w:color w:val="0D1B3E"/>
                <w:sz w:val="18"/>
                <w:szCs w:val="18"/>
              </w:rPr>
              <w:t xml:space="preserve">10:18 – 10:19 AM</w:t>
            </w:r>
          </w:p>
        </w:tc>
        <w:tc>
          <w:tcPr>
            <w:tcW w:type="dxa" w:w="5400"/>
            <w:shd w:fill="F7F1E3"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Gratitude to Chief Guests, resource persons, and the College</w:t>
            </w:r>
          </w:p>
        </w:tc>
        <w:tc>
          <w:tcPr>
            <w:tcW w:type="dxa" w:w="1800"/>
            <w:shd w:fill="F7F1E3"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1 min</w:t>
            </w:r>
          </w:p>
        </w:tc>
      </w:tr>
      <w:tr>
        <w:tc>
          <w:tcPr>
            <w:tcW w:type="dxa" w:w="2600"/>
            <w:shd w:fill="FFFFFF" w:color="auto" w:val="clear"/>
            <w:tcMar>
              <w:top w:type="dxa" w:w="60"/>
              <w:left w:type="dxa" w:w="100"/>
              <w:bottom w:type="dxa" w:w="60"/>
              <w:right w:type="dxa" w:w="100"/>
            </w:tcMar>
            <w:vAlign w:val="center"/>
          </w:tcPr>
          <w:p>
            <w:r>
              <w:rPr>
                <w:rFonts w:ascii="Calibri" w:cs="Calibri" w:eastAsia="Calibri" w:hAnsi="Calibri"/>
                <w:b/>
                <w:bCs/>
                <w:color w:val="0D1B3E"/>
                <w:sz w:val="18"/>
                <w:szCs w:val="18"/>
              </w:rPr>
              <w:t xml:space="preserve">10:19 – 10:20 AM</w:t>
            </w:r>
          </w:p>
        </w:tc>
        <w:tc>
          <w:tcPr>
            <w:tcW w:type="dxa" w:w="5400"/>
            <w:shd w:fill="FFFFFF"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Formal welcome and closing</w:t>
            </w:r>
          </w:p>
        </w:tc>
        <w:tc>
          <w:tcPr>
            <w:tcW w:type="dxa" w:w="1800"/>
            <w:shd w:fill="FFFFFF"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1 min</w:t>
            </w:r>
          </w:p>
        </w:tc>
      </w:tr>
    </w:tbl>
    <w:p>
      <w:pPr>
        <w:spacing w:after="160"/>
      </w:pPr>
    </w:p>
    <w:p>
      <w:pPr>
        <w:pStyle w:val="Heading1"/>
        <w:pBdr>
          <w:bottom w:val="single" w:color="C8972A" w:sz="8" w:space="6"/>
        </w:pBdr>
        <w:spacing w:after="100" w:before="300"/>
      </w:pPr>
      <w:r>
        <w:rPr>
          <w:rFonts w:ascii="Cambria" w:cs="Cambria" w:eastAsia="Cambria" w:hAnsi="Cambria"/>
          <w:b/>
          <w:bCs/>
          <w:color w:val="0D1B3E"/>
          <w:sz w:val="27"/>
          <w:szCs w:val="27"/>
        </w:rPr>
        <w:t xml:space="preserve">Speech Script</w:t>
      </w:r>
    </w:p>
    <w:p>
      <w:pPr>
        <w:spacing w:after="120" w:line="250"/>
      </w:pPr>
      <w:r>
        <w:rPr>
          <w:rFonts w:ascii="Calibri" w:cs="Calibri" w:eastAsia="Calibri" w:hAnsi="Calibri"/>
          <w:i/>
          <w:iCs/>
          <w:color w:val="555555"/>
          <w:sz w:val="17"/>
          <w:szCs w:val="17"/>
        </w:rPr>
        <w:t xml:space="preserve">This is an editable draft — please personalize freely in your own words and voice before the day.</w:t>
      </w:r>
    </w:p>
    <w:p>
      <w:pPr>
        <w:spacing w:after="130" w:line="300"/>
      </w:pPr>
      <w:r>
        <w:rPr>
          <w:rFonts w:ascii="Calibri" w:cs="Calibri" w:eastAsia="Calibri" w:hAnsi="Calibri"/>
          <w:color w:val="222222"/>
          <w:sz w:val="21"/>
          <w:szCs w:val="21"/>
        </w:rPr>
        <w:t xml:space="preserve">Respected Hon'ble Chief Guests, distinguished guests on the dais, our Secretary, faculty members, resource persons, and dear participants — thank you, Mr. Routh, for that gracious welcome.</w:t>
      </w:r>
    </w:p>
    <w:p>
      <w:pPr>
        <w:spacing w:after="130" w:line="300"/>
      </w:pPr>
      <w:r>
        <w:rPr>
          <w:rFonts w:ascii="Calibri" w:cs="Calibri" w:eastAsia="Calibri" w:hAnsi="Calibri"/>
          <w:color w:val="222222"/>
          <w:sz w:val="21"/>
          <w:szCs w:val="21"/>
        </w:rPr>
        <w:t xml:space="preserve">As President of Baikuntha College of Education, it gives me immense satisfaction to see this institution, through the initiative of our Internal Quality Assurance Cell, take up a theme as timely and consequential as Reimagining Teacher Training: Preparing Educators for 21st-Century Classrooms and Vikshit Bharat 2047. Since its establishment, this college has held the training of teachers close to its founding purpose — for we believe, as an institution, that the quality of a nation's classrooms can never rise above the quality of the teachers who stand in them.</w:t>
      </w:r>
    </w:p>
    <w:p>
      <w:pPr>
        <w:spacing w:after="130" w:line="300"/>
      </w:pPr>
      <w:r>
        <w:rPr>
          <w:rFonts w:ascii="Calibri" w:cs="Calibri" w:eastAsia="Calibri" w:hAnsi="Calibri"/>
          <w:color w:val="222222"/>
          <w:sz w:val="21"/>
          <w:szCs w:val="21"/>
        </w:rPr>
        <w:t xml:space="preserve">Today's seminar arrives at a moment when India is actively shaping its vision for the next quarter-century under the call of a Viksit Bharat by 2047. That vision cannot be realized without a fundamental rethinking of how we prepare our teachers — how we equip them not only with subject knowledge, but with the pedagogical, technological, and human sensibilities that a 21st-century classroom demands. It is heartening that this conversation today brings together voices from within India and from our neighbouring nations of Sri Lanka and Nepal, reminding us that this is a challenge and an opportunity shared well beyond our own borders.</w:t>
      </w:r>
    </w:p>
    <w:p>
      <w:pPr>
        <w:spacing w:after="130" w:line="300"/>
      </w:pPr>
      <w:r>
        <w:rPr>
          <w:rFonts w:ascii="Calibri" w:cs="Calibri" w:eastAsia="Calibri" w:hAnsi="Calibri"/>
          <w:color w:val="222222"/>
          <w:sz w:val="21"/>
          <w:szCs w:val="21"/>
        </w:rPr>
        <w:t xml:space="preserve">I extend my sincere gratitude to our Hon'ble Chief Guests for gracing this occasion with their presence despite their many responsibilities, and to every resource person who has travelled — some from great distances — to share their scholarship with us today. I also thank the Governing Body, the Organizing Committee, and every member of our institution who has worked to bring this seminar together.</w:t>
      </w:r>
    </w:p>
    <w:p>
      <w:pPr>
        <w:spacing w:after="130" w:line="300"/>
      </w:pPr>
      <w:r>
        <w:rPr>
          <w:rFonts w:ascii="Calibri" w:cs="Calibri" w:eastAsia="Calibri" w:hAnsi="Calibri"/>
          <w:color w:val="222222"/>
          <w:sz w:val="21"/>
          <w:szCs w:val="21"/>
        </w:rPr>
        <w:t xml:space="preserve">It is my earnest hope that the deliberations of this seminar will not remain confined to this hall, but will find their way into policy, into practice, and into the everyday work of every teacher and teacher-educator present here. With these words, I formally welcome you all to the International Seminar 2026, and I wish the day's proceedings every success.</w:t>
      </w:r>
    </w:p>
    <w:sectPr>
      <w:headerReference w:type="default" r:id="rId7"/>
      <w:footerReference w:type="default" r:id="rId8"/>
      <w:pgSz w:w="11906" w:h="16838" w:orient="portrait"/>
      <w:pgMar w:top="900" w:right="1000" w:bottom="95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4"/>
      </w:pBdr>
      <w:spacing w:after="15"/>
      <w:jc w:val="center"/>
    </w:pPr>
    <w:r>
      <w:rPr>
        <w:rFonts w:ascii="Calibri" w:cs="Calibri" w:eastAsia="Calibri" w:hAnsi="Calibri"/>
        <w:b/>
        <w:bCs/>
        <w:color w:val="0D1B3E"/>
        <w:sz w:val="14"/>
        <w:szCs w:val="14"/>
      </w:rPr>
      <w:t xml:space="preserve">Baikuntha College of Education  ·  International Seminar 2026</w:t>
    </w:r>
  </w:p>
  <w:p>
    <w:pPr>
      <w:spacing w:after="20"/>
      <w:jc w:val="center"/>
    </w:pPr>
    <w:r>
      <w:rPr>
        <w:rFonts w:ascii="Calibri" w:cs="Calibri" w:eastAsia="Calibri" w:hAnsi="Calibri"/>
        <w:i/>
        <w:iCs/>
        <w:color w:val="555555"/>
        <w:sz w:val="13"/>
        <w:szCs w:val="13"/>
      </w:rPr>
      <w:t xml:space="preserve">Organizing Partner: Onusandhanapp.com — powered by Topic Engine (www.topicengine.co.in)</w:t>
    </w:r>
  </w:p>
  <w:p>
    <w:pPr>
      <w:jc w:val="center"/>
    </w:pPr>
    <w:r>
      <w:rPr>
        <w:rFonts w:ascii="Calibri" w:cs="Calibri" w:eastAsia="Calibri" w:hAnsi="Calibri"/>
        <w:color w:val="555555"/>
        <w:sz w:val="14"/>
        <w:szCs w:val="14"/>
      </w:rPr>
      <w:t xml:space="preserve">Page </w:t>
    </w:r>
    <w:r>
      <w:rPr>
        <w:rFonts w:ascii="Calibri" w:cs="Calibri" w:eastAsia="Calibri" w:hAnsi="Calibri"/>
        <w:color w:val="555555"/>
        <w:sz w:val="14"/>
        <w:szCs w:val="14"/>
      </w:rPr>
      <w:fldChar w:fldCharType="begin"/>
      <w:instrText xml:space="preserve">PAGE</w:instrText>
      <w:fldChar w:fldCharType="separate"/>
      <w:fldChar w:fldCharType="end"/>
    </w:r>
    <w:r>
      <w:rPr>
        <w:rFonts w:ascii="Calibri" w:cs="Calibri" w:eastAsia="Calibri" w:hAnsi="Calibri"/>
        <w:color w:val="555555"/>
        <w:sz w:val="14"/>
        <w:szCs w:val="14"/>
      </w:rPr>
      <w:t xml:space="preserve"> of </w:t>
    </w:r>
    <w:r>
      <w:rPr>
        <w:rFonts w:ascii="Calibri" w:cs="Calibri" w:eastAsia="Calibri" w:hAnsi="Calibri"/>
        <w:color w:val="555555"/>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CCCCC" w:sz="4" w:space="2"/>
      </w:pBdr>
      <w:jc w:val="right"/>
    </w:pPr>
    <w:r>
      <w:rPr>
        <w:rFonts w:ascii="Calibri" w:cs="Calibri" w:eastAsia="Calibri" w:hAnsi="Calibri"/>
        <w:color w:val="555555"/>
        <w:sz w:val="13"/>
        <w:szCs w:val="13"/>
      </w:rPr>
      <w:t xml:space="preserve">Baikuntha College of Education · International Seminar 2026 · Speech Script — Mr. Sanat Kumar Bhowmik</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2026-08-26T09:56:45.567Z</dcterms:created>
  <dcterms:modified xsi:type="dcterms:W3CDTF">2026-08-26T09:56:45.567Z</dcterms:modified>
</cp:coreProperties>
</file>

<file path=docProps/custom.xml><?xml version="1.0" encoding="utf-8"?>
<Properties xmlns="http://schemas.openxmlformats.org/officeDocument/2006/custom-properties" xmlns:vt="http://schemas.openxmlformats.org/officeDocument/2006/docPropsVTypes"/>
</file>