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 w:before="60"/>
        <w:jc w:val="center"/>
      </w:pPr>
      <w:r>
        <w:rPr>
          <w:rFonts w:ascii="Calibri" w:cs="Calibri" w:eastAsia="Calibri" w:hAnsi="Calibri"/>
          <w:b/>
          <w:bCs/>
          <w:color w:val="9C7620"/>
          <w:sz w:val="17"/>
          <w:szCs w:val="17"/>
        </w:rPr>
        <w:t xml:space="preserve">IQAC · BAIKUNTHA COLLEGE OF EDUCATION</w:t>
      </w:r>
    </w:p>
    <w:p>
      <w:pPr>
        <w:spacing w:after="10" w:before="40"/>
        <w:jc w:val="center"/>
      </w:pPr>
      <w:r>
        <w:rPr>
          <w:rFonts w:ascii="Cambria" w:cs="Cambria" w:eastAsia="Cambria" w:hAnsi="Cambria"/>
          <w:b/>
          <w:bCs/>
          <w:color w:val="0D1B3E"/>
          <w:sz w:val="22"/>
          <w:szCs w:val="22"/>
        </w:rPr>
        <w:t xml:space="preserve">COLLEGE MANAGEMENT SPEECH SCRIPT</w:t>
      </w:r>
    </w:p>
    <w:p>
      <w:pPr>
        <w:spacing w:after="6" w:before="60"/>
        <w:jc w:val="center"/>
      </w:pPr>
      <w:r>
        <w:rPr>
          <w:rFonts w:ascii="Cambria" w:cs="Cambria" w:eastAsia="Cambria" w:hAnsi="Cambria"/>
          <w:b/>
          <w:bCs/>
          <w:color w:val="9C7620"/>
          <w:sz w:val="32"/>
          <w:szCs w:val="32"/>
        </w:rPr>
        <w:t xml:space="preserve">Mr. Pradyut Routh</w:t>
      </w:r>
    </w:p>
    <w:p>
      <w:pPr>
        <w:spacing w:after="6"/>
        <w:jc w:val="center"/>
      </w:pPr>
      <w:r>
        <w:rPr>
          <w:rFonts w:ascii="Calibri" w:cs="Calibri" w:eastAsia="Calibri" w:hAnsi="Calibri"/>
          <w:color w:val="222222"/>
          <w:sz w:val="19"/>
          <w:szCs w:val="19"/>
        </w:rPr>
        <w:t xml:space="preserve">Secretary, Baikuntha College of Education</w:t>
      </w:r>
    </w:p>
    <w:p>
      <w:pPr>
        <w:spacing w:after="160"/>
        <w:jc w:val="center"/>
      </w:pPr>
      <w:r>
        <w:rPr>
          <w:rFonts w:ascii="Calibri" w:cs="Calibri" w:eastAsia="Calibri" w:hAnsi="Calibri"/>
          <w:color w:val="555555"/>
          <w:sz w:val="15"/>
          <w:szCs w:val="15"/>
        </w:rPr>
        <w:t xml:space="preserve">International Seminar 2026 · 28 August 2026 · Multipurpose Hall, Baikuntha College of Education · Hybrid Mode</w:t>
      </w:r>
    </w:p>
    <w:tbl>
      <w:tblPr>
        <w:tblW w:type="dxa" w:w="9800"/>
        <w:tblBorders>
          <w:top w:val="single" w:color="C8972A" w:sz="8"/>
          <w:left w:val="single" w:color="C8972A" w:sz="8"/>
          <w:bottom w:val="single" w:color="C8972A" w:sz="8"/>
          <w:right w:val="single" w:color="C8972A" w:sz="8"/>
          <w:insideH w:val="single" w:color="E4D9BE" w:sz="2"/>
          <w:insideV w:val="single" w:color="E4D9BE" w:sz="2"/>
        </w:tblBorders>
      </w:tblPr>
      <w:tblGrid>
        <w:gridCol w:w="2700"/>
        <w:gridCol w:w="7100"/>
      </w:tblGrid>
      <w:tr>
        <w:tc>
          <w:tcPr>
            <w:tcW w:type="dxa" w:w="2700"/>
            <w:shd w:fill="FFFFFF"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Session</w:t>
            </w:r>
          </w:p>
        </w:tc>
        <w:tc>
          <w:tcPr>
            <w:tcW w:type="dxa" w:w="7100"/>
            <w:shd w:fill="FFFFFF"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Welcome Address</w:t>
            </w:r>
          </w:p>
        </w:tc>
      </w:tr>
      <w:tr>
        <w:tc>
          <w:tcPr>
            <w:tcW w:type="dxa" w:w="2700"/>
            <w:shd w:fill="F7F1E3"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Scheduled Slot</w:t>
            </w:r>
          </w:p>
        </w:tc>
        <w:tc>
          <w:tcPr>
            <w:tcW w:type="dxa" w:w="7100"/>
            <w:shd w:fill="F7F1E3"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10:10 – 10:15 AM</w:t>
            </w:r>
          </w:p>
        </w:tc>
      </w:tr>
      <w:tr>
        <w:tc>
          <w:tcPr>
            <w:tcW w:type="dxa" w:w="2700"/>
            <w:shd w:fill="FFFFFF"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Allotted Duration</w:t>
            </w:r>
          </w:p>
        </w:tc>
        <w:tc>
          <w:tcPr>
            <w:tcW w:type="dxa" w:w="7100"/>
            <w:shd w:fill="FFFFFF"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5 minutes</w:t>
            </w:r>
          </w:p>
        </w:tc>
      </w:tr>
      <w:tr>
        <w:tc>
          <w:tcPr>
            <w:tcW w:type="dxa" w:w="2700"/>
            <w:shd w:fill="F7F1E3"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Suggested Length</w:t>
            </w:r>
          </w:p>
        </w:tc>
        <w:tc>
          <w:tcPr>
            <w:tcW w:type="dxa" w:w="7100"/>
            <w:shd w:fill="F7F1E3"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Up to ~550 words (≈110–130 words/minute)</w:t>
            </w:r>
          </w:p>
        </w:tc>
      </w:tr>
      <w:tr>
        <w:tc>
          <w:tcPr>
            <w:tcW w:type="dxa" w:w="2700"/>
            <w:shd w:fill="FFFFFF"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Anchor's Introduction Cue</w:t>
            </w:r>
          </w:p>
        </w:tc>
        <w:tc>
          <w:tcPr>
            <w:tcW w:type="dxa" w:w="7100"/>
            <w:shd w:fill="FFFFFF"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“I now invite our Secretary, Mr. Pradyut Routh, to deliver the Welcome Address.”</w:t>
            </w:r>
          </w:p>
        </w:tc>
      </w:tr>
      <w:tr>
        <w:tc>
          <w:tcPr>
            <w:tcW w:type="dxa" w:w="2700"/>
            <w:shd w:fill="F7F1E3"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Anchor's Closing Line</w:t>
            </w:r>
          </w:p>
        </w:tc>
        <w:tc>
          <w:tcPr>
            <w:tcW w:type="dxa" w:w="7100"/>
            <w:shd w:fill="F7F1E3"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“Thank you, Sir, for that warm welcome to all of us.”</w:t>
            </w:r>
          </w:p>
        </w:tc>
      </w:tr>
    </w:tbl>
    <w:p>
      <w:pPr>
        <w:spacing w:after="140"/>
      </w:pPr>
    </w:p>
    <w:p>
      <w:pPr>
        <w:pStyle w:val="Heading1"/>
        <w:pBdr>
          <w:bottom w:val="single" w:color="C8972A" w:sz="8" w:space="6"/>
        </w:pBdr>
        <w:spacing w:after="100" w:before="300"/>
      </w:pPr>
      <w:r>
        <w:rPr>
          <w:rFonts w:ascii="Cambria" w:cs="Cambria" w:eastAsia="Cambria" w:hAnsi="Cambria"/>
          <w:b/>
          <w:bCs/>
          <w:color w:val="0D1B3E"/>
          <w:sz w:val="27"/>
          <w:szCs w:val="27"/>
        </w:rPr>
        <w:t xml:space="preserve">Timing &amp; Pacing Guide</w:t>
      </w:r>
    </w:p>
    <w:p>
      <w:pPr>
        <w:spacing w:after="120" w:line="250"/>
      </w:pPr>
      <w:r>
        <w:rPr>
          <w:rFonts w:ascii="Calibri" w:cs="Calibri" w:eastAsia="Calibri" w:hAnsi="Calibri"/>
          <w:i/>
          <w:iCs/>
          <w:color w:val="555555"/>
          <w:sz w:val="17"/>
          <w:szCs w:val="17"/>
        </w:rPr>
        <w:t xml:space="preserve">Clock times below are calculated from the scheduled start of this slot and are a pacing guide, not a rigid script — adjust live if the programme is running early or late, but keep within the allotted duration so the next segment is not delayed.</w:t>
      </w:r>
    </w:p>
    <w:tbl>
      <w:tblPr>
        <w:tblW w:type="dxa" w:w="9800"/>
        <w:tblBorders>
          <w:top w:val="single" w:color="auto" w:sz="4"/>
          <w:left w:val="single" w:color="auto" w:sz="4"/>
          <w:bottom w:val="single" w:color="auto" w:sz="4"/>
          <w:right w:val="single" w:color="auto" w:sz="4"/>
          <w:insideH w:val="single" w:color="auto" w:sz="4"/>
          <w:insideV w:val="single" w:color="auto" w:sz="4"/>
        </w:tblBorders>
      </w:tblPr>
      <w:tblGrid>
        <w:gridCol w:w="2600"/>
        <w:gridCol w:w="5400"/>
        <w:gridCol w:w="1800"/>
      </w:tblGrid>
      <w:tr>
        <w:trPr>
          <w:tblHeader/>
        </w:trPr>
        <w:tc>
          <w:tcPr>
            <w:tcW w:type="dxa" w:w="2600"/>
            <w:shd w:fill="0D1B3E" w:color="auto" w:val="clear"/>
            <w:tcMar>
              <w:top w:type="dxa" w:w="70"/>
              <w:left w:type="dxa" w:w="100"/>
              <w:bottom w:type="dxa" w:w="70"/>
              <w:right w:type="dxa" w:w="100"/>
            </w:tcMar>
            <w:vAlign w:val="center"/>
          </w:tcPr>
          <w:p>
            <w:r>
              <w:rPr>
                <w:rFonts w:ascii="Calibri" w:cs="Calibri" w:eastAsia="Calibri" w:hAnsi="Calibri"/>
                <w:b/>
                <w:bCs/>
                <w:color w:val="FFFFFF"/>
                <w:sz w:val="17"/>
                <w:szCs w:val="17"/>
              </w:rPr>
              <w:t xml:space="preserve">Clock Time</w:t>
            </w:r>
          </w:p>
        </w:tc>
        <w:tc>
          <w:tcPr>
            <w:tcW w:type="dxa" w:w="5400"/>
            <w:shd w:fill="0D1B3E" w:color="auto" w:val="clear"/>
            <w:tcMar>
              <w:top w:type="dxa" w:w="70"/>
              <w:left w:type="dxa" w:w="100"/>
              <w:bottom w:type="dxa" w:w="70"/>
              <w:right w:type="dxa" w:w="100"/>
            </w:tcMar>
            <w:vAlign w:val="center"/>
          </w:tcPr>
          <w:p>
            <w:r>
              <w:rPr>
                <w:rFonts w:ascii="Calibri" w:cs="Calibri" w:eastAsia="Calibri" w:hAnsi="Calibri"/>
                <w:b/>
                <w:bCs/>
                <w:color w:val="FFFFFF"/>
                <w:sz w:val="17"/>
                <w:szCs w:val="17"/>
              </w:rPr>
              <w:t xml:space="preserve">What Happens</w:t>
            </w:r>
          </w:p>
        </w:tc>
        <w:tc>
          <w:tcPr>
            <w:tcW w:type="dxa" w:w="1800"/>
            <w:shd w:fill="0D1B3E" w:color="auto" w:val="clear"/>
            <w:tcMar>
              <w:top w:type="dxa" w:w="70"/>
              <w:left w:type="dxa" w:w="100"/>
              <w:bottom w:type="dxa" w:w="70"/>
              <w:right w:type="dxa" w:w="100"/>
            </w:tcMar>
            <w:vAlign w:val="center"/>
          </w:tcPr>
          <w:p>
            <w:r>
              <w:rPr>
                <w:rFonts w:ascii="Calibri" w:cs="Calibri" w:eastAsia="Calibri" w:hAnsi="Calibri"/>
                <w:b/>
                <w:bCs/>
                <w:color w:val="FFFFFF"/>
                <w:sz w:val="17"/>
                <w:szCs w:val="17"/>
              </w:rPr>
              <w:t xml:space="preserve">Duration</w:t>
            </w:r>
          </w:p>
        </w:tc>
      </w:tr>
      <w:tr>
        <w:tc>
          <w:tcPr>
            <w:tcW w:type="dxa" w:w="2600"/>
            <w:shd w:fill="FFFFFF"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10:10 – 10:11 AM</w:t>
            </w:r>
          </w:p>
        </w:tc>
        <w:tc>
          <w:tcPr>
            <w:tcW w:type="dxa" w:w="54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Greeting the dais, Chief Guests, and all present</w:t>
            </w:r>
          </w:p>
        </w:tc>
        <w:tc>
          <w:tcPr>
            <w:tcW w:type="dxa" w:w="18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1 min</w:t>
            </w:r>
          </w:p>
        </w:tc>
      </w:tr>
      <w:tr>
        <w:tc>
          <w:tcPr>
            <w:tcW w:type="dxa" w:w="2600"/>
            <w:shd w:fill="F7F1E3"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10:11 – 10:12 AM</w:t>
            </w:r>
          </w:p>
        </w:tc>
        <w:tc>
          <w:tcPr>
            <w:tcW w:type="dxa" w:w="54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Significance of the seminar theme for BCE / IQAC</w:t>
            </w:r>
          </w:p>
        </w:tc>
        <w:tc>
          <w:tcPr>
            <w:tcW w:type="dxa" w:w="18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1 min</w:t>
            </w:r>
          </w:p>
        </w:tc>
      </w:tr>
      <w:tr>
        <w:tc>
          <w:tcPr>
            <w:tcW w:type="dxa" w:w="2600"/>
            <w:shd w:fill="FFFFFF"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10:12 – 10:13 AM</w:t>
            </w:r>
          </w:p>
        </w:tc>
        <w:tc>
          <w:tcPr>
            <w:tcW w:type="dxa" w:w="54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Recognizing the Chief Guests and resource persons</w:t>
            </w:r>
          </w:p>
        </w:tc>
        <w:tc>
          <w:tcPr>
            <w:tcW w:type="dxa" w:w="18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1 min</w:t>
            </w:r>
          </w:p>
        </w:tc>
      </w:tr>
      <w:tr>
        <w:tc>
          <w:tcPr>
            <w:tcW w:type="dxa" w:w="2600"/>
            <w:shd w:fill="F7F1E3"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10:13 – 10:14 AM</w:t>
            </w:r>
          </w:p>
        </w:tc>
        <w:tc>
          <w:tcPr>
            <w:tcW w:type="dxa" w:w="54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Thanks to the Organizing Committee and staff</w:t>
            </w:r>
          </w:p>
        </w:tc>
        <w:tc>
          <w:tcPr>
            <w:tcW w:type="dxa" w:w="18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1 min</w:t>
            </w:r>
          </w:p>
        </w:tc>
      </w:tr>
      <w:tr>
        <w:tc>
          <w:tcPr>
            <w:tcW w:type="dxa" w:w="2600"/>
            <w:shd w:fill="FFFFFF"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10:14 – 10:15 AM</w:t>
            </w:r>
          </w:p>
        </w:tc>
        <w:tc>
          <w:tcPr>
            <w:tcW w:type="dxa" w:w="54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Closing invitation to participate through the day</w:t>
            </w:r>
          </w:p>
        </w:tc>
        <w:tc>
          <w:tcPr>
            <w:tcW w:type="dxa" w:w="18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1 min</w:t>
            </w:r>
          </w:p>
        </w:tc>
      </w:tr>
    </w:tbl>
    <w:p>
      <w:pPr>
        <w:spacing w:after="160"/>
      </w:pPr>
    </w:p>
    <w:p>
      <w:pPr>
        <w:pStyle w:val="Heading1"/>
        <w:pBdr>
          <w:bottom w:val="single" w:color="C8972A" w:sz="8" w:space="6"/>
        </w:pBdr>
        <w:spacing w:after="100" w:before="300"/>
      </w:pPr>
      <w:r>
        <w:rPr>
          <w:rFonts w:ascii="Cambria" w:cs="Cambria" w:eastAsia="Cambria" w:hAnsi="Cambria"/>
          <w:b/>
          <w:bCs/>
          <w:color w:val="0D1B3E"/>
          <w:sz w:val="27"/>
          <w:szCs w:val="27"/>
        </w:rPr>
        <w:t xml:space="preserve">Speech Script</w:t>
      </w:r>
    </w:p>
    <w:p>
      <w:pPr>
        <w:spacing w:after="120" w:line="250"/>
      </w:pPr>
      <w:r>
        <w:rPr>
          <w:rFonts w:ascii="Calibri" w:cs="Calibri" w:eastAsia="Calibri" w:hAnsi="Calibri"/>
          <w:i/>
          <w:iCs/>
          <w:color w:val="555555"/>
          <w:sz w:val="17"/>
          <w:szCs w:val="17"/>
        </w:rPr>
        <w:t xml:space="preserve">This is an editable draft — please personalize freely in your own words and voice before the day.</w:t>
      </w:r>
    </w:p>
    <w:p>
      <w:pPr>
        <w:spacing w:after="130" w:line="300"/>
      </w:pPr>
      <w:r>
        <w:rPr>
          <w:rFonts w:ascii="Calibri" w:cs="Calibri" w:eastAsia="Calibri" w:hAnsi="Calibri"/>
          <w:color w:val="222222"/>
          <w:sz w:val="21"/>
          <w:szCs w:val="21"/>
        </w:rPr>
        <w:t xml:space="preserve">Respected Hon'ble Chief Guests Sri Dipak Barman and Sri Nisith Pramanik, our esteemed Chief Patron and President Mr. Sanat Kumar Bhowmik, our distinguished keynote speaker Prof. Purabi Baishya, our honoured international and national resource persons, members of the Governing Body, my fellow faculty colleagues, research scholars, and dear participants joining us both here in person and online — a very warm welcome to each one of you.</w:t>
      </w:r>
    </w:p>
    <w:p>
      <w:pPr>
        <w:spacing w:after="130" w:line="300"/>
      </w:pPr>
      <w:r>
        <w:rPr>
          <w:rFonts w:ascii="Calibri" w:cs="Calibri" w:eastAsia="Calibri" w:hAnsi="Calibri"/>
          <w:color w:val="222222"/>
          <w:sz w:val="21"/>
          <w:szCs w:val="21"/>
        </w:rPr>
        <w:t xml:space="preserve">It is a matter of great pride and privilege for Baikuntha College of Education, and for the Internal Quality Assurance Cell in particular, to host this International Seminar on Reimagining Teacher Training: Preparing Educators for 21st-Century Classrooms and Vikshit Bharat 2047. Teacher education stands today at a defining crossroads — the classroom of tomorrow will look very different from the classroom we grew up in, shaped by rapid technological change, evolving learner needs, and the aspirations of a nation working towards the vision of a Viksit Bharat by 2047. It is in this spirit that we have brought together such a distinguished gathering of scholars, policy thinkers, and practitioners from within the country and beyond our borders.</w:t>
      </w:r>
    </w:p>
    <w:p>
      <w:pPr>
        <w:spacing w:after="130" w:line="300"/>
      </w:pPr>
      <w:r>
        <w:rPr>
          <w:rFonts w:ascii="Calibri" w:cs="Calibri" w:eastAsia="Calibri" w:hAnsi="Calibri"/>
          <w:color w:val="222222"/>
          <w:sz w:val="21"/>
          <w:szCs w:val="21"/>
        </w:rPr>
        <w:t xml:space="preserve">We are especially honoured today by the presence of our two Hon'ble Ministers as Chief Guests, whose participation reflects the importance this seminar's theme holds not just for our institution, but for the wider cause of education in our state and nation. We are equally privileged to have with us Prof. Purabi Baishya as our Keynote Speaker, along with a distinguished panel of international resource persons from Sri Lanka and Nepal, and eminent national resource persons who have travelled from various parts of the country to be with us.</w:t>
      </w:r>
    </w:p>
    <w:p>
      <w:pPr>
        <w:spacing w:after="130" w:line="300"/>
      </w:pPr>
      <w:r>
        <w:rPr>
          <w:rFonts w:ascii="Calibri" w:cs="Calibri" w:eastAsia="Calibri" w:hAnsi="Calibri"/>
          <w:color w:val="222222"/>
          <w:sz w:val="21"/>
          <w:szCs w:val="21"/>
        </w:rPr>
        <w:t xml:space="preserve">None of this would have been possible without the tireless efforts of our Organizing Committee, our faculty and non-teaching staff, our student volunteers, and every sub-committee that has worked over the past several weeks to bring this seminar to life. I take this opportunity to thank the Governing Body of Baikuntha College of Education for their constant guidance and support, and every sponsor, well-wisher, and delegate who has made today possible.</w:t>
      </w:r>
    </w:p>
    <w:p>
      <w:pPr>
        <w:spacing w:after="130" w:line="300"/>
      </w:pPr>
      <w:r>
        <w:rPr>
          <w:rFonts w:ascii="Calibri" w:cs="Calibri" w:eastAsia="Calibri" w:hAnsi="Calibri"/>
          <w:color w:val="222222"/>
          <w:sz w:val="21"/>
          <w:szCs w:val="21"/>
        </w:rPr>
        <w:t xml:space="preserve">I warmly invite all of you to participate actively through the day — to listen, to question, to debate, and to carry forward the ideas that emerge here into your own classrooms and institutions. On behalf of the entire Organizing Committee, once again, a very warm welcome to the International Seminar 2026.</w:t>
      </w:r>
    </w:p>
    <w:sectPr>
      <w:headerReference w:type="default" r:id="rId7"/>
      <w:footerReference w:type="default" r:id="rId8"/>
      <w:pgSz w:w="11906" w:h="16838" w:orient="portrait"/>
      <w:pgMar w:top="900" w:right="1000" w:bottom="95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after="15"/>
      <w:jc w:val="center"/>
    </w:pPr>
    <w:r>
      <w:rPr>
        <w:rFonts w:ascii="Calibri" w:cs="Calibri" w:eastAsia="Calibri" w:hAnsi="Calibri"/>
        <w:b/>
        <w:bCs/>
        <w:color w:val="0D1B3E"/>
        <w:sz w:val="14"/>
        <w:szCs w:val="14"/>
      </w:rPr>
      <w:t xml:space="preserve">Baikuntha College of Education  ·  International Seminar 2026</w:t>
    </w:r>
  </w:p>
  <w:p>
    <w:pPr>
      <w:spacing w:after="20"/>
      <w:jc w:val="center"/>
    </w:pPr>
    <w:r>
      <w:rPr>
        <w:rFonts w:ascii="Calibri" w:cs="Calibri" w:eastAsia="Calibri" w:hAnsi="Calibri"/>
        <w:i/>
        <w:iCs/>
        <w:color w:val="555555"/>
        <w:sz w:val="13"/>
        <w:szCs w:val="13"/>
      </w:rPr>
      <w:t xml:space="preserve">Organizing Partner: Onusandhanapp.com — powered by Topic Engine (www.topicengine.co.in)</w:t>
    </w:r>
  </w:p>
  <w:p>
    <w:pPr>
      <w:jc w:val="center"/>
    </w:pPr>
    <w:r>
      <w:rPr>
        <w:rFonts w:ascii="Calibri" w:cs="Calibri" w:eastAsia="Calibri" w:hAnsi="Calibri"/>
        <w:color w:val="555555"/>
        <w:sz w:val="14"/>
        <w:szCs w:val="14"/>
      </w:rPr>
      <w:t xml:space="preserve">Page </w:t>
    </w:r>
    <w:r>
      <w:rPr>
        <w:rFonts w:ascii="Calibri" w:cs="Calibri" w:eastAsia="Calibri" w:hAnsi="Calibri"/>
        <w:color w:val="555555"/>
        <w:sz w:val="14"/>
        <w:szCs w:val="14"/>
      </w:rPr>
      <w:fldChar w:fldCharType="begin"/>
      <w:instrText xml:space="preserve">PAGE</w:instrText>
      <w:fldChar w:fldCharType="separate"/>
      <w:fldChar w:fldCharType="end"/>
    </w:r>
    <w:r>
      <w:rPr>
        <w:rFonts w:ascii="Calibri" w:cs="Calibri" w:eastAsia="Calibri" w:hAnsi="Calibri"/>
        <w:color w:val="555555"/>
        <w:sz w:val="14"/>
        <w:szCs w:val="14"/>
      </w:rPr>
      <w:t xml:space="preserve"> of </w:t>
    </w:r>
    <w:r>
      <w:rPr>
        <w:rFonts w:ascii="Calibri" w:cs="Calibri" w:eastAsia="Calibri" w:hAnsi="Calibri"/>
        <w:color w:val="555555"/>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2"/>
      </w:pBdr>
      <w:jc w:val="right"/>
    </w:pPr>
    <w:r>
      <w:rPr>
        <w:rFonts w:ascii="Calibri" w:cs="Calibri" w:eastAsia="Calibri" w:hAnsi="Calibri"/>
        <w:color w:val="555555"/>
        <w:sz w:val="13"/>
        <w:szCs w:val="13"/>
      </w:rPr>
      <w:t xml:space="preserve">Baikuntha College of Education · International Seminar 2026 · Speech Script — Mr. Pradyut Routh</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2026-08-26T09:56:45.491Z</dcterms:created>
  <dcterms:modified xsi:type="dcterms:W3CDTF">2026-08-26T09:56:45.491Z</dcterms:modified>
</cp:coreProperties>
</file>

<file path=docProps/custom.xml><?xml version="1.0" encoding="utf-8"?>
<Properties xmlns="http://schemas.openxmlformats.org/officeDocument/2006/custom-properties" xmlns:vt="http://schemas.openxmlformats.org/officeDocument/2006/docPropsVTypes"/>
</file>