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200"/>
        <w:jc w:val="center"/>
      </w:pPr>
      <w:r>
        <w:rPr>
          <w:rFonts w:ascii="Calibri" w:cs="Calibri" w:eastAsia="Calibri" w:hAnsi="Calibri"/>
          <w:b/>
          <w:bCs/>
          <w:color w:val="9C7620"/>
          <w:sz w:val="18"/>
          <w:szCs w:val="18"/>
        </w:rPr>
        <w:t xml:space="preserve">IQAC · BAIKUNTHA COLLEGE OF EDUCATION</w:t>
      </w:r>
    </w:p>
    <w:p>
      <w:pPr>
        <w:spacing w:after="20" w:before="140"/>
        <w:jc w:val="center"/>
      </w:pPr>
      <w:r>
        <w:rPr>
          <w:rFonts w:ascii="Cambria" w:cs="Cambria" w:eastAsia="Cambria" w:hAnsi="Cambria"/>
          <w:b/>
          <w:bCs/>
          <w:color w:val="0D1B3E"/>
          <w:sz w:val="34"/>
          <w:szCs w:val="34"/>
        </w:rPr>
        <w:t xml:space="preserve">RESOURCE PERSON SPEECH SCRIPTS</w:t>
      </w:r>
    </w:p>
    <w:p>
      <w:pPr>
        <w:spacing w:after="10"/>
        <w:jc w:val="center"/>
      </w:pPr>
      <w:r>
        <w:rPr>
          <w:rFonts w:ascii="Calibri" w:cs="Calibri" w:eastAsia="Calibri" w:hAnsi="Calibri"/>
          <w:color w:val="222222"/>
          <w:sz w:val="20"/>
          <w:szCs w:val="20"/>
        </w:rPr>
        <w:t xml:space="preserve">Full Draft Address Scripts, in Programme-Schedule Order</w:t>
      </w:r>
    </w:p>
    <w:p>
      <w:pPr>
        <w:spacing w:after="260"/>
        <w:jc w:val="center"/>
      </w:pPr>
      <w:r>
        <w:rPr>
          <w:rFonts w:ascii="Calibri" w:cs="Calibri" w:eastAsia="Calibri" w:hAnsi="Calibri"/>
          <w:color w:val="555555"/>
          <w:sz w:val="16"/>
          <w:szCs w:val="16"/>
        </w:rPr>
        <w:t xml:space="preserve">International Seminar 2026 · 28 August 2026 · Multipurpose Hall, Baikuntha College of Education · Hybrid Mode</w:t>
      </w:r>
    </w:p>
    <w:p>
      <w:r>
        <w:br w:type="page"/>
      </w:r>
    </w:p>
    <w:p>
      <w:pPr>
        <w:pStyle w:val="Heading1"/>
        <w:pBdr>
          <w:bottom w:val="single" w:color="C8972A" w:sz="8" w:space="6"/>
        </w:pBdr>
        <w:spacing w:after="140" w:before="420"/>
      </w:pPr>
      <w:r>
        <w:rPr>
          <w:rFonts w:ascii="Cambria" w:cs="Cambria" w:eastAsia="Cambria" w:hAnsi="Cambria"/>
          <w:b/>
          <w:bCs/>
          <w:color w:val="0D1B3E"/>
          <w:sz w:val="30"/>
          <w:szCs w:val="30"/>
        </w:rPr>
        <w:t xml:space="preserve">How to Use These Scripts</w:t>
      </w:r>
    </w:p>
    <w:p>
      <w:pPr>
        <w:spacing w:after="140" w:line="300"/>
      </w:pPr>
      <w:r>
        <w:rPr>
          <w:rFonts w:ascii="Calibri" w:cs="Calibri" w:eastAsia="Calibri" w:hAnsi="Calibri"/>
          <w:color w:val="222222"/>
          <w:sz w:val="21"/>
          <w:szCs w:val="21"/>
        </w:rPr>
        <w:t xml:space="preserve">Each script below is now a complete, ready-to-read draft — a formal opening, a fully drafted body, and a closing. The body sections are written as general, illustrative talking points on the seminar's theme (drawing on widely known, publicly established trends in teacher education, NEP 2020, and comparative South Asian education policy) — they are NOT based on any resource person's actual unpublished research, personal data, or specific institutional findings, since only the speaker themselves can accurately state that.</w:t>
      </w:r>
    </w:p>
    <w:p>
      <w:pPr>
        <w:spacing w:after="140" w:line="300"/>
      </w:pPr>
      <w:r>
        <w:rPr>
          <w:rFonts w:ascii="Calibri" w:cs="Calibri" w:eastAsia="Calibri" w:hAnsi="Calibri"/>
          <w:color w:val="222222"/>
          <w:sz w:val="21"/>
          <w:szCs w:val="21"/>
        </w:rPr>
        <w:t xml:space="preserve">Please share the relevant script with each resource person well in advance (Section 2.2/2.3 of the Master Manual — invitation stage) and ask them to review it carefully: replace any general point with their own research, data, or examples wherever they have something more specific to say, correct anything that does not match their actual view or field, and confirm every factual claim before it is read aloud — especially in front of two Hon'ble Ministers, an international audience, and a livestream.</w:t>
      </w:r>
    </w:p>
    <w:p>
      <w:pPr>
        <w:spacing w:after="140" w:line="300"/>
      </w:pPr>
      <w:r>
        <w:rPr>
          <w:rFonts w:ascii="Calibri" w:cs="Calibri" w:eastAsia="Calibri" w:hAnsi="Calibri"/>
          <w:color w:val="222222"/>
          <w:sz w:val="21"/>
          <w:szCs w:val="21"/>
        </w:rPr>
        <w:t xml:space="preserve">Timings are drawn from the Time-wise Responsibility Matrix. Suggested word counts assume a natural speaking pace of roughly 110–130 words per minute for formal English delivery — treat them as a ceiling to stay within the allotted slot, not a target to fill.</w:t>
      </w:r>
    </w:p>
    <w:p>
      <w:pPr>
        <w:spacing w:after="140"/>
      </w:pPr>
    </w:p>
    <w:p>
      <w:pPr>
        <w:pStyle w:val="Heading1"/>
        <w:pBdr>
          <w:bottom w:val="single" w:color="C8972A" w:sz="8" w:space="6"/>
        </w:pBdr>
        <w:spacing w:after="140" w:before="420"/>
      </w:pPr>
      <w:r>
        <w:rPr>
          <w:rFonts w:ascii="Cambria" w:cs="Cambria" w:eastAsia="Cambria" w:hAnsi="Cambria"/>
          <w:b/>
          <w:bCs/>
          <w:color w:val="0D1B3E"/>
          <w:sz w:val="30"/>
          <w:szCs w:val="30"/>
        </w:rPr>
        <w:t xml:space="preserve">Speech Scripts, in Programme-Schedule Order</w:t>
      </w:r>
    </w:p>
    <w:p>
      <w:pPr>
        <w:pStyle w:val="Heading2"/>
        <w:pBdr>
          <w:bottom w:val="single" w:color="CCCCCC" w:sz="4" w:space="4"/>
        </w:pBdr>
        <w:spacing w:after="40" w:before="300"/>
      </w:pPr>
      <w:r>
        <w:rPr>
          <w:rFonts w:ascii="Cambria" w:cs="Cambria" w:eastAsia="Cambria" w:hAnsi="Cambria"/>
          <w:b/>
          <w:bCs/>
          <w:color w:val="0D1B3E"/>
          <w:sz w:val="25"/>
          <w:szCs w:val="25"/>
        </w:rPr>
        <w:t xml:space="preserve">1 · Keynote Address</w:t>
      </w:r>
    </w:p>
    <w:p>
      <w:pPr>
        <w:spacing w:after="140"/>
      </w:pPr>
      <w:r>
        <w:rPr>
          <w:rFonts w:ascii="Calibri" w:cs="Calibri" w:eastAsia="Calibri" w:hAnsi="Calibri"/>
          <w:i/>
          <w:iCs/>
          <w:color w:val="555555"/>
          <w:sz w:val="18"/>
          <w:szCs w:val="18"/>
        </w:rPr>
        <w:t xml:space="preserve">Prof. Purabi Baishya  ·  Head, Department of Education, Gauhati University</w:t>
      </w:r>
    </w:p>
    <w:p>
      <w:pPr>
        <w:spacing w:after="140"/>
      </w:pPr>
      <w:r>
        <w:rPr>
          <w:rFonts w:ascii="Calibri" w:cs="Calibri" w:eastAsia="Calibri" w:hAnsi="Calibri"/>
          <w:i/>
          <w:iCs/>
          <w:color w:val="555555"/>
          <w:sz w:val="18"/>
          <w:szCs w:val="18"/>
        </w:rPr>
        <w:t xml:space="preserve">Scheduled: 11:00 – 11:25 AM  ·  Allotted duration: 25 minutes  ·  Suggested length: up to ~2800 words</w:t>
      </w:r>
    </w:p>
    <w:p>
      <w:pPr>
        <w:spacing w:after="140" w:line="300"/>
      </w:pPr>
      <w:r>
        <w:rPr>
          <w:rFonts w:ascii="Calibri" w:cs="Calibri" w:eastAsia="Calibri" w:hAnsi="Calibri"/>
          <w:color w:val="222222"/>
          <w:sz w:val="21"/>
          <w:szCs w:val="21"/>
        </w:rPr>
        <w:t xml:space="preserve">Respected Chief Guests, respected Chief Patron and Secretary, distinguished resource persons on the dais, faculty members, research scholars, and dear participants — thank you for the honour of opening today's academic proceedings with this keynote address.</w:t>
      </w:r>
    </w:p>
    <w:p>
      <w:pPr>
        <w:spacing w:after="140" w:line="300"/>
      </w:pPr>
      <w:r>
        <w:rPr>
          <w:rFonts w:ascii="Calibri" w:cs="Calibri" w:eastAsia="Calibri" w:hAnsi="Calibri"/>
          <w:color w:val="222222"/>
          <w:sz w:val="21"/>
          <w:szCs w:val="21"/>
        </w:rPr>
        <w:t xml:space="preserve">We gather today around a theme that could not be more timely: Reimagining Teacher Training — Preparing Educators for 21st-Century Classrooms and Vikshit Bharat 2047. Teacher education sits at the very foundation of any nation's aspirations for its future, and as India works towards the vision of a developed nation by 2047, the question of how we prepare, support, and continually renew our teachers deserves the closest attention we can give it this morning.</w:t>
      </w:r>
    </w:p>
    <w:p>
      <w:pPr>
        <w:spacing w:after="30" w:before="100"/>
      </w:pPr>
      <w:r>
        <w:rPr>
          <w:rFonts w:ascii="Calibri" w:cs="Calibri" w:eastAsia="Calibri" w:hAnsi="Calibri"/>
          <w:b/>
          <w:bCs/>
          <w:i/>
          <w:iCs/>
          <w:color w:val="9C7620"/>
          <w:sz w:val="18"/>
          <w:szCs w:val="18"/>
        </w:rPr>
        <w:t xml:space="preserve">Opening argument</w:t>
      </w:r>
    </w:p>
    <w:p>
      <w:pPr>
        <w:spacing w:after="140" w:line="300"/>
      </w:pPr>
      <w:r>
        <w:rPr>
          <w:rFonts w:ascii="Calibri" w:cs="Calibri" w:eastAsia="Calibri" w:hAnsi="Calibri"/>
          <w:color w:val="222222"/>
          <w:sz w:val="21"/>
          <w:szCs w:val="21"/>
        </w:rPr>
        <w:t xml:space="preserve">My central submission this morning is a simple one: teacher training can no longer be treated as a single, front-loaded qualification earned once and relied upon for an entire career. The 21st-century classroom is too dynamic for that model. If we are serious about reimagining teacher training, we must reimagine it as a continuous, evolving process — one that keeps pace with technology, with the changing needs of learners, and with the national vision we are working towards.</w:t>
      </w:r>
    </w:p>
    <w:p>
      <w:pPr>
        <w:spacing w:after="30" w:before="100"/>
      </w:pPr>
      <w:r>
        <w:rPr>
          <w:rFonts w:ascii="Calibri" w:cs="Calibri" w:eastAsia="Calibri" w:hAnsi="Calibri"/>
          <w:b/>
          <w:bCs/>
          <w:i/>
          <w:iCs/>
          <w:color w:val="9C7620"/>
          <w:sz w:val="18"/>
          <w:szCs w:val="18"/>
        </w:rPr>
        <w:t xml:space="preserve">The changing landscape</w:t>
      </w:r>
    </w:p>
    <w:p>
      <w:pPr>
        <w:spacing w:after="140" w:line="300"/>
      </w:pPr>
      <w:r>
        <w:rPr>
          <w:rFonts w:ascii="Calibri" w:cs="Calibri" w:eastAsia="Calibri" w:hAnsi="Calibri"/>
          <w:color w:val="222222"/>
          <w:sz w:val="21"/>
          <w:szCs w:val="21"/>
        </w:rPr>
        <w:t xml:space="preserve">Three shifts, in particular, are reshaping teacher education as we speak. The first is the steady integration of technology into the classroom — not as a novelty, but as an everyday tool for instruction, assessment, and feedback. The second is the changing profile of the learner: today's classrooms are more linguistically, socially, and economically diverse than ever before, and teachers need to be equipped to respond to that diversity rather than teach around it. The third is policy reform itself — the National Education Policy 2020, with its four-year integrated B.Ed. programme and its emphasis on multidisciplinary, practice-based teacher preparation, gives our institutions a genuine opportunity to rebuild teacher education from first principles rather than patch the old model.</w:t>
      </w:r>
    </w:p>
    <w:p>
      <w:pPr>
        <w:spacing w:after="30" w:before="100"/>
      </w:pPr>
      <w:r>
        <w:rPr>
          <w:rFonts w:ascii="Calibri" w:cs="Calibri" w:eastAsia="Calibri" w:hAnsi="Calibri"/>
          <w:b/>
          <w:bCs/>
          <w:i/>
          <w:iCs/>
          <w:color w:val="9C7620"/>
          <w:sz w:val="18"/>
          <w:szCs w:val="18"/>
        </w:rPr>
        <w:t xml:space="preserve">What this looks like in practice</w:t>
      </w:r>
    </w:p>
    <w:p>
      <w:pPr>
        <w:spacing w:after="140" w:line="300"/>
      </w:pPr>
      <w:r>
        <w:rPr>
          <w:rFonts w:ascii="Calibri" w:cs="Calibri" w:eastAsia="Calibri" w:hAnsi="Calibri"/>
          <w:color w:val="222222"/>
          <w:sz w:val="21"/>
          <w:szCs w:val="21"/>
        </w:rPr>
        <w:t xml:space="preserve">In my years of engagement with B.Ed. and M.Ed. programmes, one pattern has become increasingly clear: the institutions that succeed are the ones that close the gap between theoretical training and classroom-ready practice — through sustained, mentored practicum, through reflective teaching journals, and through genuine partnership between teacher-education departments and the schools where their graduates will eventually teach. Technology adoption on its own changes very little; technology paired with strong pedagogical grounding changes a great deal.</w:t>
      </w:r>
    </w:p>
    <w:p>
      <w:pPr>
        <w:spacing w:after="30" w:before="100"/>
      </w:pPr>
      <w:r>
        <w:rPr>
          <w:rFonts w:ascii="Calibri" w:cs="Calibri" w:eastAsia="Calibri" w:hAnsi="Calibri"/>
          <w:b/>
          <w:bCs/>
          <w:i/>
          <w:iCs/>
          <w:color w:val="9C7620"/>
          <w:sz w:val="18"/>
          <w:szCs w:val="18"/>
        </w:rPr>
        <w:t xml:space="preserve">Looking forward</w:t>
      </w:r>
    </w:p>
    <w:p>
      <w:pPr>
        <w:spacing w:after="140" w:line="300"/>
      </w:pPr>
      <w:r>
        <w:rPr>
          <w:rFonts w:ascii="Calibri" w:cs="Calibri" w:eastAsia="Calibri" w:hAnsi="Calibri"/>
          <w:color w:val="222222"/>
          <w:sz w:val="21"/>
          <w:szCs w:val="21"/>
        </w:rPr>
        <w:t xml:space="preserve">This is precisely where the vision of Vikshit Bharat 2047 becomes relevant to a seminar like ours. A developed nation is, at its core, a nation whose human capital has been well prepared — and teachers are the single most important lever we have for shaping that human capital at scale. The addresses that follow today, from our international colleagues in Sri Lanka and Nepal and from our national resource persons, will each bring a different facet of this challenge into focus. I hope my remarks this morning offer a useful frame within which to place theirs.</w:t>
      </w:r>
    </w:p>
    <w:p>
      <w:pPr>
        <w:spacing w:after="140" w:line="300"/>
      </w:pPr>
      <w:r>
        <w:rPr>
          <w:rFonts w:ascii="Calibri" w:cs="Calibri" w:eastAsia="Calibri" w:hAnsi="Calibri"/>
          <w:color w:val="222222"/>
          <w:sz w:val="21"/>
          <w:szCs w:val="21"/>
        </w:rPr>
        <w:t xml:space="preserve">I look forward to the rich deliberations that will follow through the day, and I thank the Organizing Committee and the Internal Quality Assurance Cell of Baikuntha College of Education for the opportunity to share these thoughts with such a distinguished gathering. Thank you.</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2 · International Invited Address</w:t>
      </w:r>
    </w:p>
    <w:p>
      <w:pPr>
        <w:spacing w:after="140"/>
      </w:pPr>
      <w:r>
        <w:rPr>
          <w:rFonts w:ascii="Calibri" w:cs="Calibri" w:eastAsia="Calibri" w:hAnsi="Calibri"/>
          <w:i/>
          <w:iCs/>
          <w:color w:val="555555"/>
          <w:sz w:val="18"/>
          <w:szCs w:val="18"/>
        </w:rPr>
        <w:t xml:space="preserve">Mr. Daya Dissanayake  ·  Resource Person, Sri Lanka</w:t>
      </w:r>
    </w:p>
    <w:p>
      <w:pPr>
        <w:spacing w:after="140"/>
      </w:pPr>
      <w:r>
        <w:rPr>
          <w:rFonts w:ascii="Calibri" w:cs="Calibri" w:eastAsia="Calibri" w:hAnsi="Calibri"/>
          <w:i/>
          <w:iCs/>
          <w:color w:val="555555"/>
          <w:sz w:val="18"/>
          <w:szCs w:val="18"/>
        </w:rPr>
        <w:t xml:space="preserve">Scheduled: 11:25 – 11:45 AM  ·  Allotted duration: 20 minutes  ·  Suggested length: up to ~2200 words</w:t>
      </w:r>
    </w:p>
    <w:p>
      <w:pPr>
        <w:spacing w:after="140" w:line="300"/>
      </w:pPr>
      <w:r>
        <w:rPr>
          <w:rFonts w:ascii="Calibri" w:cs="Calibri" w:eastAsia="Calibri" w:hAnsi="Calibri"/>
          <w:color w:val="222222"/>
          <w:sz w:val="21"/>
          <w:szCs w:val="21"/>
        </w:rPr>
        <w:t xml:space="preserve">Respected Chief Guests, Chief Patron, Secretary, fellow resource persons, and friends — thank you for welcoming me so warmly to this seminar, and for the opportunity to bring a perspective from Sri Lanka into today's conversation on teacher training.</w:t>
      </w:r>
    </w:p>
    <w:p>
      <w:pPr>
        <w:spacing w:after="140" w:line="300"/>
      </w:pPr>
      <w:r>
        <w:rPr>
          <w:rFonts w:ascii="Calibri" w:cs="Calibri" w:eastAsia="Calibri" w:hAnsi="Calibri"/>
          <w:color w:val="222222"/>
          <w:sz w:val="21"/>
          <w:szCs w:val="21"/>
        </w:rPr>
        <w:t xml:space="preserve">Across South Asia, our education systems face closely related challenges in preparing teachers for 21st-century classrooms, even as our national contexts differ. A conversation like today's, that brings Indian, Sri Lankan, and Nepali perspectives onto one platform, is exactly the kind of regional exchange that can help all our systems learn faster from one another.</w:t>
      </w:r>
    </w:p>
    <w:p>
      <w:pPr>
        <w:spacing w:after="30" w:before="100"/>
      </w:pPr>
      <w:r>
        <w:rPr>
          <w:rFonts w:ascii="Calibri" w:cs="Calibri" w:eastAsia="Calibri" w:hAnsi="Calibri"/>
          <w:b/>
          <w:bCs/>
          <w:i/>
          <w:iCs/>
          <w:color w:val="9C7620"/>
          <w:sz w:val="18"/>
          <w:szCs w:val="18"/>
        </w:rPr>
        <w:t xml:space="preserve">The Sri Lankan context</w:t>
      </w:r>
    </w:p>
    <w:p>
      <w:pPr>
        <w:spacing w:after="140" w:line="300"/>
      </w:pPr>
      <w:r>
        <w:rPr>
          <w:rFonts w:ascii="Calibri" w:cs="Calibri" w:eastAsia="Calibri" w:hAnsi="Calibri"/>
          <w:color w:val="222222"/>
          <w:sz w:val="21"/>
          <w:szCs w:val="21"/>
        </w:rPr>
        <w:t xml:space="preserve">Sri Lanka has long taken pride in a strong tradition of teacher training through its National Colleges of Education and university-based teacher-education programmes. At the same time, our system faces familiar challenges: modernizing curricula quickly enough to keep pace with technological change, extending quality digital infrastructure to under-resourced and rural schools, and retaining well-trained teachers in the areas that need them most.</w:t>
      </w:r>
    </w:p>
    <w:p>
      <w:pPr>
        <w:spacing w:after="30" w:before="100"/>
      </w:pPr>
      <w:r>
        <w:rPr>
          <w:rFonts w:ascii="Calibri" w:cs="Calibri" w:eastAsia="Calibri" w:hAnsi="Calibri"/>
          <w:b/>
          <w:bCs/>
          <w:i/>
          <w:iCs/>
          <w:color w:val="9C7620"/>
          <w:sz w:val="18"/>
          <w:szCs w:val="18"/>
        </w:rPr>
        <w:t xml:space="preserve">What has worked for us</w:t>
      </w:r>
    </w:p>
    <w:p>
      <w:pPr>
        <w:spacing w:after="140" w:line="300"/>
      </w:pPr>
      <w:r>
        <w:rPr>
          <w:rFonts w:ascii="Calibri" w:cs="Calibri" w:eastAsia="Calibri" w:hAnsi="Calibri"/>
          <w:color w:val="222222"/>
          <w:sz w:val="21"/>
          <w:szCs w:val="21"/>
        </w:rPr>
        <w:t xml:space="preserve">A few practices from our experience may be of interest here. We have placed considerable emphasis on structured induction and mentoring for newly qualified teachers in their first years in the classroom, rather than leaving them to find their footing alone. We maintain fairly centralized curriculum standards, which helps ensure a consistent baseline of quality across very different school contexts. And we have tried, with mixed but encouraging results, to treat continuous professional development as an expectation rather than an optional extra.</w:t>
      </w:r>
    </w:p>
    <w:p>
      <w:pPr>
        <w:spacing w:after="30" w:before="100"/>
      </w:pPr>
      <w:r>
        <w:rPr>
          <w:rFonts w:ascii="Calibri" w:cs="Calibri" w:eastAsia="Calibri" w:hAnsi="Calibri"/>
          <w:b/>
          <w:bCs/>
          <w:i/>
          <w:iCs/>
          <w:color w:val="9C7620"/>
          <w:sz w:val="18"/>
          <w:szCs w:val="18"/>
        </w:rPr>
        <w:t xml:space="preserve">Building on this together</w:t>
      </w:r>
    </w:p>
    <w:p>
      <w:pPr>
        <w:spacing w:after="140" w:line="300"/>
      </w:pPr>
      <w:r>
        <w:rPr>
          <w:rFonts w:ascii="Calibri" w:cs="Calibri" w:eastAsia="Calibri" w:hAnsi="Calibri"/>
          <w:color w:val="222222"/>
          <w:sz w:val="21"/>
          <w:szCs w:val="21"/>
        </w:rPr>
        <w:t xml:space="preserve">I believe there is real scope for India and Sri Lanka to deepen collaboration in this space — through structured teacher-exchange programmes, shared digital learning resources that can be adapted across our different curricula, and joint research on pedagogy suited to South Asian classrooms specifically, rather than importing frameworks designed for very different contexts.</w:t>
      </w:r>
    </w:p>
    <w:p>
      <w:pPr>
        <w:spacing w:after="140" w:line="300"/>
      </w:pPr>
      <w:r>
        <w:rPr>
          <w:rFonts w:ascii="Calibri" w:cs="Calibri" w:eastAsia="Calibri" w:hAnsi="Calibri"/>
          <w:color w:val="222222"/>
          <w:sz w:val="21"/>
          <w:szCs w:val="21"/>
        </w:rPr>
        <w:t xml:space="preserve">I am grateful to Baikuntha College of Education for including a South Asian, cross-border perspective in this seminar, and I look forward to continuing this exchange with all of you through the day. Thank you.</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3 · International Invited Address (slot to be confirmed)</w:t>
      </w:r>
    </w:p>
    <w:p>
      <w:pPr>
        <w:spacing w:after="140"/>
      </w:pPr>
      <w:r>
        <w:rPr>
          <w:rFonts w:ascii="Calibri" w:cs="Calibri" w:eastAsia="Calibri" w:hAnsi="Calibri"/>
          <w:i/>
          <w:iCs/>
          <w:color w:val="555555"/>
          <w:sz w:val="18"/>
          <w:szCs w:val="18"/>
        </w:rPr>
        <w:t xml:space="preserve">Prof. Rathnasiri Rathnayaka  ·  Resource Person, Sri Lanka</w:t>
      </w:r>
    </w:p>
    <w:p>
      <w:pPr>
        <w:spacing w:after="140"/>
      </w:pPr>
      <w:r>
        <w:rPr>
          <w:rFonts w:ascii="Calibri" w:cs="Calibri" w:eastAsia="Calibri" w:hAnsi="Calibri"/>
          <w:i/>
          <w:iCs/>
          <w:color w:val="555555"/>
          <w:sz w:val="18"/>
          <w:szCs w:val="18"/>
        </w:rPr>
        <w:t xml:space="preserve">Scheduled: 11:45 AM – 12:05 PM  ·  Allotted duration: 20 minutes (tentative)  ·  Suggested length: up to ~2200 words</w:t>
      </w:r>
    </w:p>
    <w:p>
      <w:pPr>
        <w:spacing w:after="140" w:line="260"/>
      </w:pPr>
      <w:r>
        <w:rPr>
          <w:rFonts w:ascii="Calibri" w:cs="Calibri" w:eastAsia="Calibri" w:hAnsi="Calibri"/>
          <w:i/>
          <w:iCs/>
          <w:color w:val="555555"/>
          <w:sz w:val="18"/>
          <w:szCs w:val="18"/>
        </w:rPr>
        <w:t xml:space="preserve">Note: this speaking slot is not explicitly named in the current Time-wise Responsibility Matrix — Prof. Rathnayaka is listed among the confirmed international speakers in the Seminar Snapshot but has no fixed slot yet. Please confirm the exact time and duration with the Academic/Technical Committee, update this script and the printed schedule together, and remove this note once confirmed.</w:t>
      </w:r>
    </w:p>
    <w:p>
      <w:pPr>
        <w:spacing w:after="140" w:line="300"/>
      </w:pPr>
      <w:r>
        <w:rPr>
          <w:rFonts w:ascii="Calibri" w:cs="Calibri" w:eastAsia="Calibri" w:hAnsi="Calibri"/>
          <w:color w:val="222222"/>
          <w:sz w:val="21"/>
          <w:szCs w:val="21"/>
        </w:rPr>
        <w:t xml:space="preserve">Respected Chief Guests, Chief Patron, Secretary, fellow resource persons, and friends — it is a pleasure to join this seminar from Sri Lanka and to contribute to today's discussion on reimagining teacher training for the 21st century.</w:t>
      </w:r>
    </w:p>
    <w:p>
      <w:pPr>
        <w:spacing w:after="140" w:line="300"/>
      </w:pPr>
      <w:r>
        <w:rPr>
          <w:rFonts w:ascii="Calibri" w:cs="Calibri" w:eastAsia="Calibri" w:hAnsi="Calibri"/>
          <w:color w:val="222222"/>
          <w:sz w:val="21"/>
          <w:szCs w:val="21"/>
        </w:rPr>
        <w:t xml:space="preserve">As with my colleague Mr. Dissanayake, I believe there is much to be gained from placing the Indian and Sri Lankan experiences of teacher education side by side, particularly as both our nations navigate similar pressures — resource constraints, rapid technological change, and the need to keep the teaching profession attractive to the best young talent.</w:t>
      </w:r>
    </w:p>
    <w:p>
      <w:pPr>
        <w:spacing w:after="30" w:before="100"/>
      </w:pPr>
      <w:r>
        <w:rPr>
          <w:rFonts w:ascii="Calibri" w:cs="Calibri" w:eastAsia="Calibri" w:hAnsi="Calibri"/>
          <w:b/>
          <w:bCs/>
          <w:i/>
          <w:iCs/>
          <w:color w:val="9C7620"/>
          <w:sz w:val="18"/>
          <w:szCs w:val="18"/>
        </w:rPr>
        <w:t xml:space="preserve">Where I focus my attention</w:t>
      </w:r>
    </w:p>
    <w:p>
      <w:pPr>
        <w:spacing w:after="140" w:line="300"/>
      </w:pPr>
      <w:r>
        <w:rPr>
          <w:rFonts w:ascii="Calibri" w:cs="Calibri" w:eastAsia="Calibri" w:hAnsi="Calibri"/>
          <w:color w:val="222222"/>
          <w:sz w:val="21"/>
          <w:szCs w:val="21"/>
        </w:rPr>
        <w:t xml:space="preserve">My own interest within teacher education lies in pedagogy and professional development — in what actually happens once a teacher walks into a classroom, rather than only in the policies that shape their initial training. This matters to today's theme because reform on paper only becomes reform in practice through the everyday choices teachers make in front of their students.</w:t>
      </w:r>
    </w:p>
    <w:p>
      <w:pPr>
        <w:spacing w:after="30" w:before="100"/>
      </w:pPr>
      <w:r>
        <w:rPr>
          <w:rFonts w:ascii="Calibri" w:cs="Calibri" w:eastAsia="Calibri" w:hAnsi="Calibri"/>
          <w:b/>
          <w:bCs/>
          <w:i/>
          <w:iCs/>
          <w:color w:val="9C7620"/>
          <w:sz w:val="18"/>
          <w:szCs w:val="18"/>
        </w:rPr>
        <w:t xml:space="preserve">A central argument</w:t>
      </w:r>
    </w:p>
    <w:p>
      <w:pPr>
        <w:spacing w:after="140" w:line="300"/>
      </w:pPr>
      <w:r>
        <w:rPr>
          <w:rFonts w:ascii="Calibri" w:cs="Calibri" w:eastAsia="Calibri" w:hAnsi="Calibri"/>
          <w:color w:val="222222"/>
          <w:sz w:val="21"/>
          <w:szCs w:val="21"/>
        </w:rPr>
        <w:t xml:space="preserve">The evidence from teacher-development work across the region points fairly consistently in one direction: sustained, practice-based professional development — coaching, peer observation, structured reflection on one's own teaching — tends to shift classroom practice far more reliably than one-off training workshops, however well designed. Teachers who are treated as active participants in shaping reform, rather than passive recipients of it, are also considerably more likely to sustain new practices over time.</w:t>
      </w:r>
    </w:p>
    <w:p>
      <w:pPr>
        <w:spacing w:after="30" w:before="100"/>
      </w:pPr>
      <w:r>
        <w:rPr>
          <w:rFonts w:ascii="Calibri" w:cs="Calibri" w:eastAsia="Calibri" w:hAnsi="Calibri"/>
          <w:b/>
          <w:bCs/>
          <w:i/>
          <w:iCs/>
          <w:color w:val="9C7620"/>
          <w:sz w:val="18"/>
          <w:szCs w:val="18"/>
        </w:rPr>
        <w:t xml:space="preserve">A recommendation</w:t>
      </w:r>
    </w:p>
    <w:p>
      <w:pPr>
        <w:spacing w:after="140" w:line="300"/>
      </w:pPr>
      <w:r>
        <w:rPr>
          <w:rFonts w:ascii="Calibri" w:cs="Calibri" w:eastAsia="Calibri" w:hAnsi="Calibri"/>
          <w:color w:val="222222"/>
          <w:sz w:val="21"/>
          <w:szCs w:val="21"/>
        </w:rPr>
        <w:t xml:space="preserve">I would encourage teacher-education institutions represented here to think of in-service development not as a series of isolated events, but as a structured, recurring cycle — with regular opportunities for teachers to observe one another, reflect together, and refine their practice, backed by institutional recognition for that ongoing effort.</w:t>
      </w:r>
    </w:p>
    <w:p>
      <w:pPr>
        <w:spacing w:after="140" w:line="300"/>
      </w:pPr>
      <w:r>
        <w:rPr>
          <w:rFonts w:ascii="Calibri" w:cs="Calibri" w:eastAsia="Calibri" w:hAnsi="Calibri"/>
          <w:color w:val="222222"/>
          <w:sz w:val="21"/>
          <w:szCs w:val="21"/>
        </w:rPr>
        <w:t xml:space="preserve">Thank you to the Organizing Committee for this opportunity, and I look forward to the discussions ahead.</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4 · Invited Address I</w:t>
      </w:r>
    </w:p>
    <w:p>
      <w:pPr>
        <w:spacing w:after="140"/>
      </w:pPr>
      <w:r>
        <w:rPr>
          <w:rFonts w:ascii="Calibri" w:cs="Calibri" w:eastAsia="Calibri" w:hAnsi="Calibri"/>
          <w:i/>
          <w:iCs/>
          <w:color w:val="555555"/>
          <w:sz w:val="18"/>
          <w:szCs w:val="18"/>
        </w:rPr>
        <w:t xml:space="preserve">Dr. Pradip Chandra Das  ·  National Resource Person</w:t>
      </w:r>
    </w:p>
    <w:p>
      <w:pPr>
        <w:spacing w:after="140"/>
      </w:pPr>
      <w:r>
        <w:rPr>
          <w:rFonts w:ascii="Calibri" w:cs="Calibri" w:eastAsia="Calibri" w:hAnsi="Calibri"/>
          <w:i/>
          <w:iCs/>
          <w:color w:val="555555"/>
          <w:sz w:val="18"/>
          <w:szCs w:val="18"/>
        </w:rPr>
        <w:t xml:space="preserve">Scheduled: 12:05 – 12:20 PM  ·  Allotted duration: 15 minutes  ·  Suggested length: up to ~1700 words</w:t>
      </w:r>
    </w:p>
    <w:p>
      <w:pPr>
        <w:spacing w:after="140" w:line="300"/>
      </w:pPr>
      <w:r>
        <w:rPr>
          <w:rFonts w:ascii="Calibri" w:cs="Calibri" w:eastAsia="Calibri" w:hAnsi="Calibri"/>
          <w:color w:val="222222"/>
          <w:sz w:val="21"/>
          <w:szCs w:val="21"/>
        </w:rPr>
        <w:t xml:space="preserve">Respected dignitaries on the dais, fellow resource persons, and dear participants — thank you for this opportunity to share a few thoughts with you as part of today's academic session.</w:t>
      </w:r>
    </w:p>
    <w:p>
      <w:pPr>
        <w:spacing w:after="140" w:line="300"/>
      </w:pPr>
      <w:r>
        <w:rPr>
          <w:rFonts w:ascii="Calibri" w:cs="Calibri" w:eastAsia="Calibri" w:hAnsi="Calibri"/>
          <w:color w:val="222222"/>
          <w:sz w:val="21"/>
          <w:szCs w:val="21"/>
        </w:rPr>
        <w:t xml:space="preserve">Teacher training reform is rarely accomplished through policy alone — it depends on the everyday choices made inside classrooms and teacher-education institutions, which is the lens I would like to bring to this address.</w:t>
      </w:r>
    </w:p>
    <w:p>
      <w:pPr>
        <w:spacing w:after="30" w:before="100"/>
      </w:pPr>
      <w:r>
        <w:rPr>
          <w:rFonts w:ascii="Calibri" w:cs="Calibri" w:eastAsia="Calibri" w:hAnsi="Calibri"/>
          <w:b/>
          <w:bCs/>
          <w:i/>
          <w:iCs/>
          <w:color w:val="9C7620"/>
          <w:sz w:val="18"/>
          <w:szCs w:val="18"/>
        </w:rPr>
        <w:t xml:space="preserve">Central argument</w:t>
      </w:r>
    </w:p>
    <w:p>
      <w:pPr>
        <w:spacing w:after="140" w:line="300"/>
      </w:pPr>
      <w:r>
        <w:rPr>
          <w:rFonts w:ascii="Calibri" w:cs="Calibri" w:eastAsia="Calibri" w:hAnsi="Calibri"/>
          <w:color w:val="222222"/>
          <w:sz w:val="21"/>
          <w:szCs w:val="21"/>
        </w:rPr>
        <w:t xml:space="preserve">Technology integration in teacher-education curricula is essential, but it only pays off when it is grounded in strong pedagogy rather than treated as an add-on module bolted onto an otherwise unchanged programme.</w:t>
      </w:r>
    </w:p>
    <w:p>
      <w:pPr>
        <w:spacing w:after="30" w:before="100"/>
      </w:pPr>
      <w:r>
        <w:rPr>
          <w:rFonts w:ascii="Calibri" w:cs="Calibri" w:eastAsia="Calibri" w:hAnsi="Calibri"/>
          <w:b/>
          <w:bCs/>
          <w:i/>
          <w:iCs/>
          <w:color w:val="9C7620"/>
          <w:sz w:val="18"/>
          <w:szCs w:val="18"/>
        </w:rPr>
        <w:t xml:space="preserve">Discussion</w:t>
      </w:r>
    </w:p>
    <w:p>
      <w:pPr>
        <w:spacing w:after="140" w:line="300"/>
      </w:pPr>
      <w:r>
        <w:rPr>
          <w:rFonts w:ascii="Calibri" w:cs="Calibri" w:eastAsia="Calibri" w:hAnsi="Calibri"/>
          <w:color w:val="222222"/>
          <w:sz w:val="21"/>
          <w:szCs w:val="21"/>
        </w:rPr>
        <w:t xml:space="preserve">Institutions that see real gains are typically the ones that embed digital tools directly into the practicum — trainee teachers using them to plan lessons, assess learning, and get feedback, under the guidance of experienced mentors, rather than encountering technology only in a stand-alone computer-literacy paper.</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A digitally confident teaching workforce is the base layer on which any vision of a digitally empowered, knowledge-driven India must ultimately rest.</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I would recommend that teacher-education institutions institutionalize periodic digital-pedagogy refresher modules for both pre-service trainees and serving teachers, rather than treating digital training as a one-time requirement.</w:t>
      </w:r>
    </w:p>
    <w:p>
      <w:pPr>
        <w:spacing w:after="140" w:line="300"/>
      </w:pPr>
      <w:r>
        <w:rPr>
          <w:rFonts w:ascii="Calibri" w:cs="Calibri" w:eastAsia="Calibri" w:hAnsi="Calibri"/>
          <w:color w:val="222222"/>
          <w:sz w:val="21"/>
          <w:szCs w:val="21"/>
        </w:rPr>
        <w:t xml:space="preserve">Thank you for your attention, and I look forward to the discussion that follows later in the day.</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5 · Invited Address II</w:t>
      </w:r>
    </w:p>
    <w:p>
      <w:pPr>
        <w:spacing w:after="140"/>
      </w:pPr>
      <w:r>
        <w:rPr>
          <w:rFonts w:ascii="Calibri" w:cs="Calibri" w:eastAsia="Calibri" w:hAnsi="Calibri"/>
          <w:i/>
          <w:iCs/>
          <w:color w:val="555555"/>
          <w:sz w:val="18"/>
          <w:szCs w:val="18"/>
        </w:rPr>
        <w:t xml:space="preserve">Dr. Debabrata Das  ·  National Resource Person</w:t>
      </w:r>
    </w:p>
    <w:p>
      <w:pPr>
        <w:spacing w:after="140"/>
      </w:pPr>
      <w:r>
        <w:rPr>
          <w:rFonts w:ascii="Calibri" w:cs="Calibri" w:eastAsia="Calibri" w:hAnsi="Calibri"/>
          <w:i/>
          <w:iCs/>
          <w:color w:val="555555"/>
          <w:sz w:val="18"/>
          <w:szCs w:val="18"/>
        </w:rPr>
        <w:t xml:space="preserve">Scheduled: 12:20 – 12:35 PM  ·  Allotted duration: 15 minutes  ·  Suggested length: up to ~1700 words</w:t>
      </w:r>
    </w:p>
    <w:p>
      <w:pPr>
        <w:spacing w:after="140" w:line="300"/>
      </w:pPr>
      <w:r>
        <w:rPr>
          <w:rFonts w:ascii="Calibri" w:cs="Calibri" w:eastAsia="Calibri" w:hAnsi="Calibri"/>
          <w:color w:val="222222"/>
          <w:sz w:val="21"/>
          <w:szCs w:val="21"/>
        </w:rPr>
        <w:t xml:space="preserve">Respected dignitaries, fellow resource persons, and participants — thank you for the opportunity to address this distinguished gathering.</w:t>
      </w:r>
    </w:p>
    <w:p>
      <w:pPr>
        <w:spacing w:after="140" w:line="300"/>
      </w:pPr>
      <w:r>
        <w:rPr>
          <w:rFonts w:ascii="Calibri" w:cs="Calibri" w:eastAsia="Calibri" w:hAnsi="Calibri"/>
          <w:color w:val="222222"/>
          <w:sz w:val="21"/>
          <w:szCs w:val="21"/>
        </w:rPr>
        <w:t xml:space="preserve">Building on the addresses that have preceded mine this morning, I would like to turn our attention to a specific dimension of preparing teachers for the 21st-century classroom.</w:t>
      </w:r>
    </w:p>
    <w:p>
      <w:pPr>
        <w:spacing w:after="30" w:before="100"/>
      </w:pPr>
      <w:r>
        <w:rPr>
          <w:rFonts w:ascii="Calibri" w:cs="Calibri" w:eastAsia="Calibri" w:hAnsi="Calibri"/>
          <w:b/>
          <w:bCs/>
          <w:i/>
          <w:iCs/>
          <w:color w:val="9C7620"/>
          <w:sz w:val="18"/>
          <w:szCs w:val="18"/>
        </w:rPr>
        <w:t xml:space="preserve">Central argument</w:t>
      </w:r>
    </w:p>
    <w:p>
      <w:pPr>
        <w:spacing w:after="140" w:line="300"/>
      </w:pPr>
      <w:r>
        <w:rPr>
          <w:rFonts w:ascii="Calibri" w:cs="Calibri" w:eastAsia="Calibri" w:hAnsi="Calibri"/>
          <w:color w:val="222222"/>
          <w:sz w:val="21"/>
          <w:szCs w:val="21"/>
        </w:rPr>
        <w:t xml:space="preserve">Inclusive, equity-focused teacher training is central to reaching every learner in India's genuinely diverse classrooms — linguistically, socially, and economically.</w:t>
      </w:r>
    </w:p>
    <w:p>
      <w:pPr>
        <w:spacing w:after="30" w:before="100"/>
      </w:pPr>
      <w:r>
        <w:rPr>
          <w:rFonts w:ascii="Calibri" w:cs="Calibri" w:eastAsia="Calibri" w:hAnsi="Calibri"/>
          <w:b/>
          <w:bCs/>
          <w:i/>
          <w:iCs/>
          <w:color w:val="9C7620"/>
          <w:sz w:val="18"/>
          <w:szCs w:val="18"/>
        </w:rPr>
        <w:t xml:space="preserve">Discussion</w:t>
      </w:r>
    </w:p>
    <w:p>
      <w:pPr>
        <w:spacing w:after="140" w:line="300"/>
      </w:pPr>
      <w:r>
        <w:rPr>
          <w:rFonts w:ascii="Calibri" w:cs="Calibri" w:eastAsia="Calibri" w:hAnsi="Calibri"/>
          <w:color w:val="222222"/>
          <w:sz w:val="21"/>
          <w:szCs w:val="21"/>
        </w:rPr>
        <w:t xml:space="preserve">This means training teachers not just to tolerate diversity but to actively plan for it: recognizing varied learning needs, adapting instruction for multilingual classrooms, and being alert to the ways socio-economic background can shape a child's experience of school.</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A developed nation cannot be built on an education system that serves some learners well and others poorly — inclusive teacher preparation is what makes broad-based national development possible rather than merely aspirational.</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Inclusive-pedagogy training should be built in as a core, assessed component of every teacher-education programme, not offered as an optional elective.</w:t>
      </w:r>
    </w:p>
    <w:p>
      <w:pPr>
        <w:spacing w:after="140" w:line="300"/>
      </w:pPr>
      <w:r>
        <w:rPr>
          <w:rFonts w:ascii="Calibri" w:cs="Calibri" w:eastAsia="Calibri" w:hAnsi="Calibri"/>
          <w:color w:val="222222"/>
          <w:sz w:val="21"/>
          <w:szCs w:val="21"/>
        </w:rPr>
        <w:t xml:space="preserve">Thank you, and I look forward to continuing this conversation with all of you through the day.</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6 · Invited Address III</w:t>
      </w:r>
    </w:p>
    <w:p>
      <w:pPr>
        <w:spacing w:after="140"/>
      </w:pPr>
      <w:r>
        <w:rPr>
          <w:rFonts w:ascii="Calibri" w:cs="Calibri" w:eastAsia="Calibri" w:hAnsi="Calibri"/>
          <w:i/>
          <w:iCs/>
          <w:color w:val="555555"/>
          <w:sz w:val="18"/>
          <w:szCs w:val="18"/>
        </w:rPr>
        <w:t xml:space="preserve">Dr. Monojit Das  ·  National Resource Person</w:t>
      </w:r>
    </w:p>
    <w:p>
      <w:pPr>
        <w:spacing w:after="140"/>
      </w:pPr>
      <w:r>
        <w:rPr>
          <w:rFonts w:ascii="Calibri" w:cs="Calibri" w:eastAsia="Calibri" w:hAnsi="Calibri"/>
          <w:i/>
          <w:iCs/>
          <w:color w:val="555555"/>
          <w:sz w:val="18"/>
          <w:szCs w:val="18"/>
        </w:rPr>
        <w:t xml:space="preserve">Scheduled: 12:35 – 12:50 PM  ·  Allotted duration: 15 minutes  ·  Suggested length: up to ~1700 words</w:t>
      </w:r>
    </w:p>
    <w:p>
      <w:pPr>
        <w:spacing w:after="140" w:line="300"/>
      </w:pPr>
      <w:r>
        <w:rPr>
          <w:rFonts w:ascii="Calibri" w:cs="Calibri" w:eastAsia="Calibri" w:hAnsi="Calibri"/>
          <w:color w:val="222222"/>
          <w:sz w:val="21"/>
          <w:szCs w:val="21"/>
        </w:rPr>
        <w:t xml:space="preserve">Respected dignitaries, fellow resource persons, and participants — I am grateful for this opportunity to share my perspective with you today.</w:t>
      </w:r>
    </w:p>
    <w:p>
      <w:pPr>
        <w:spacing w:after="140" w:line="300"/>
      </w:pPr>
      <w:r>
        <w:rPr>
          <w:rFonts w:ascii="Calibri" w:cs="Calibri" w:eastAsia="Calibri" w:hAnsi="Calibri"/>
          <w:color w:val="222222"/>
          <w:sz w:val="21"/>
          <w:szCs w:val="21"/>
        </w:rPr>
        <w:t xml:space="preserve">As we move further into this morning's discussion, I would like to bring forward a perspective grounded in my own field of work within teacher education.</w:t>
      </w:r>
    </w:p>
    <w:p>
      <w:pPr>
        <w:spacing w:after="30" w:before="100"/>
      </w:pPr>
      <w:r>
        <w:rPr>
          <w:rFonts w:ascii="Calibri" w:cs="Calibri" w:eastAsia="Calibri" w:hAnsi="Calibri"/>
          <w:b/>
          <w:bCs/>
          <w:i/>
          <w:iCs/>
          <w:color w:val="9C7620"/>
          <w:sz w:val="18"/>
          <w:szCs w:val="18"/>
        </w:rPr>
        <w:t xml:space="preserve">Central argument</w:t>
      </w:r>
    </w:p>
    <w:p>
      <w:pPr>
        <w:spacing w:after="140" w:line="300"/>
      </w:pPr>
      <w:r>
        <w:rPr>
          <w:rFonts w:ascii="Calibri" w:cs="Calibri" w:eastAsia="Calibri" w:hAnsi="Calibri"/>
          <w:color w:val="222222"/>
          <w:sz w:val="21"/>
          <w:szCs w:val="21"/>
        </w:rPr>
        <w:t xml:space="preserve">Teacher professional development must become a continuous, career-long process rather than something confined to the years of pre-service training.</w:t>
      </w:r>
    </w:p>
    <w:p>
      <w:pPr>
        <w:spacing w:after="30" w:before="100"/>
      </w:pPr>
      <w:r>
        <w:rPr>
          <w:rFonts w:ascii="Calibri" w:cs="Calibri" w:eastAsia="Calibri" w:hAnsi="Calibri"/>
          <w:b/>
          <w:bCs/>
          <w:i/>
          <w:iCs/>
          <w:color w:val="9C7620"/>
          <w:sz w:val="18"/>
          <w:szCs w:val="18"/>
        </w:rPr>
        <w:t xml:space="preserve">Discussion</w:t>
      </w:r>
    </w:p>
    <w:p>
      <w:pPr>
        <w:spacing w:after="140" w:line="300"/>
      </w:pPr>
      <w:r>
        <w:rPr>
          <w:rFonts w:ascii="Calibri" w:cs="Calibri" w:eastAsia="Calibri" w:hAnsi="Calibri"/>
          <w:color w:val="222222"/>
          <w:sz w:val="21"/>
          <w:szCs w:val="21"/>
        </w:rPr>
        <w:t xml:space="preserve">This calls for structured in-service programmes, active peer-learning communities within schools and clusters of schools, and institutional recognition — through career progression or credentialing — for teachers who invest in their own continued growth.</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A nation's long-term competitiveness rests on a teaching workforce that keeps learning throughout its career, not one whose training effectively ends at graduation.</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Education departments and teacher-education institutions should jointly build formal continuous-professional-development frameworks, with regular, credentialed refresher cycles built into every teacher's career path.</w:t>
      </w:r>
    </w:p>
    <w:p>
      <w:pPr>
        <w:spacing w:after="140" w:line="300"/>
      </w:pPr>
      <w:r>
        <w:rPr>
          <w:rFonts w:ascii="Calibri" w:cs="Calibri" w:eastAsia="Calibri" w:hAnsi="Calibri"/>
          <w:color w:val="222222"/>
          <w:sz w:val="21"/>
          <w:szCs w:val="21"/>
        </w:rPr>
        <w:t xml:space="preserve">Thank you for your patient hearing — I look forward to your questions in the Open House session.</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7 · Invited Address IV</w:t>
      </w:r>
    </w:p>
    <w:p>
      <w:pPr>
        <w:spacing w:after="140"/>
      </w:pPr>
      <w:r>
        <w:rPr>
          <w:rFonts w:ascii="Calibri" w:cs="Calibri" w:eastAsia="Calibri" w:hAnsi="Calibri"/>
          <w:i/>
          <w:iCs/>
          <w:color w:val="555555"/>
          <w:sz w:val="18"/>
          <w:szCs w:val="18"/>
        </w:rPr>
        <w:t xml:space="preserve">Prof. (Dr.) Sushanta Kumar Roul  ·  National Resource Person</w:t>
      </w:r>
    </w:p>
    <w:p>
      <w:pPr>
        <w:spacing w:after="140"/>
      </w:pPr>
      <w:r>
        <w:rPr>
          <w:rFonts w:ascii="Calibri" w:cs="Calibri" w:eastAsia="Calibri" w:hAnsi="Calibri"/>
          <w:i/>
          <w:iCs/>
          <w:color w:val="555555"/>
          <w:sz w:val="18"/>
          <w:szCs w:val="18"/>
        </w:rPr>
        <w:t xml:space="preserve">Scheduled: 12:50 – 1:05 PM  ·  Allotted duration: 15 minutes  ·  Suggested length: up to ~1700 words</w:t>
      </w:r>
    </w:p>
    <w:p>
      <w:pPr>
        <w:spacing w:after="140" w:line="300"/>
      </w:pPr>
      <w:r>
        <w:rPr>
          <w:rFonts w:ascii="Calibri" w:cs="Calibri" w:eastAsia="Calibri" w:hAnsi="Calibri"/>
          <w:color w:val="222222"/>
          <w:sz w:val="21"/>
          <w:szCs w:val="21"/>
        </w:rPr>
        <w:t xml:space="preserve">Respected dignitaries, fellow resource persons, and dear participants — thank you for this opportunity to address you this afternoon.</w:t>
      </w:r>
    </w:p>
    <w:p>
      <w:pPr>
        <w:spacing w:after="140" w:line="300"/>
      </w:pPr>
      <w:r>
        <w:rPr>
          <w:rFonts w:ascii="Calibri" w:cs="Calibri" w:eastAsia="Calibri" w:hAnsi="Calibri"/>
          <w:color w:val="222222"/>
          <w:sz w:val="21"/>
          <w:szCs w:val="21"/>
        </w:rPr>
        <w:t xml:space="preserve">I would like to use this time to reflect on how the ideas discussed so far this morning connect to my own area of work in teacher education.</w:t>
      </w:r>
    </w:p>
    <w:p>
      <w:pPr>
        <w:spacing w:after="30" w:before="100"/>
      </w:pPr>
      <w:r>
        <w:rPr>
          <w:rFonts w:ascii="Calibri" w:cs="Calibri" w:eastAsia="Calibri" w:hAnsi="Calibri"/>
          <w:b/>
          <w:bCs/>
          <w:i/>
          <w:iCs/>
          <w:color w:val="9C7620"/>
          <w:sz w:val="18"/>
          <w:szCs w:val="18"/>
        </w:rPr>
        <w:t xml:space="preserve">Central argument</w:t>
      </w:r>
    </w:p>
    <w:p>
      <w:pPr>
        <w:spacing w:after="140" w:line="300"/>
      </w:pPr>
      <w:r>
        <w:rPr>
          <w:rFonts w:ascii="Calibri" w:cs="Calibri" w:eastAsia="Calibri" w:hAnsi="Calibri"/>
          <w:color w:val="222222"/>
          <w:sz w:val="21"/>
          <w:szCs w:val="21"/>
        </w:rPr>
        <w:t xml:space="preserve">The four-year integrated B.Ed. programme introduced under NEP 2020 is a genuine opportunity to rebuild teacher education from first principles, rather than simply adjusting the duration of the older model.</w:t>
      </w:r>
    </w:p>
    <w:p>
      <w:pPr>
        <w:spacing w:after="30" w:before="100"/>
      </w:pPr>
      <w:r>
        <w:rPr>
          <w:rFonts w:ascii="Calibri" w:cs="Calibri" w:eastAsia="Calibri" w:hAnsi="Calibri"/>
          <w:b/>
          <w:bCs/>
          <w:i/>
          <w:iCs/>
          <w:color w:val="9C7620"/>
          <w:sz w:val="18"/>
          <w:szCs w:val="18"/>
        </w:rPr>
        <w:t xml:space="preserve">Discussion</w:t>
      </w:r>
    </w:p>
    <w:p>
      <w:pPr>
        <w:spacing w:after="140" w:line="300"/>
      </w:pPr>
      <w:r>
        <w:rPr>
          <w:rFonts w:ascii="Calibri" w:cs="Calibri" w:eastAsia="Calibri" w:hAnsi="Calibri"/>
          <w:color w:val="222222"/>
          <w:sz w:val="21"/>
          <w:szCs w:val="21"/>
        </w:rPr>
        <w:t xml:space="preserve">Its multidisciplinary grounding and stronger practicum requirements only realize their promise, however, if teacher-education institutions build closer, sustained partnerships with schools — so that trainee teachers get mentored classroom exposure across their training, not a single block placement near the end.</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A well-designed integrated teacher-education system is one of the more direct ways to shorten the distance between policy vision on paper and the reality of what happens in classrooms.</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I would encourage every teacher-education institution here to treat its partner schools as long-term collaborators in the training process, not merely as placement sites.</w:t>
      </w:r>
    </w:p>
    <w:p>
      <w:pPr>
        <w:spacing w:after="140" w:line="300"/>
      </w:pPr>
      <w:r>
        <w:rPr>
          <w:rFonts w:ascii="Calibri" w:cs="Calibri" w:eastAsia="Calibri" w:hAnsi="Calibri"/>
          <w:color w:val="222222"/>
          <w:sz w:val="21"/>
          <w:szCs w:val="21"/>
        </w:rPr>
        <w:t xml:space="preserve">Thank you, and I look forward to the discussions that will follow.</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8 · Invited Address V</w:t>
      </w:r>
    </w:p>
    <w:p>
      <w:pPr>
        <w:spacing w:after="140"/>
      </w:pPr>
      <w:r>
        <w:rPr>
          <w:rFonts w:ascii="Calibri" w:cs="Calibri" w:eastAsia="Calibri" w:hAnsi="Calibri"/>
          <w:i/>
          <w:iCs/>
          <w:color w:val="555555"/>
          <w:sz w:val="18"/>
          <w:szCs w:val="18"/>
        </w:rPr>
        <w:t xml:space="preserve">Prof. (Dr.) Parthibeshwar Prasad Timilsina  ·  Resource Person, Nepal</w:t>
      </w:r>
    </w:p>
    <w:p>
      <w:pPr>
        <w:spacing w:after="140"/>
      </w:pPr>
      <w:r>
        <w:rPr>
          <w:rFonts w:ascii="Calibri" w:cs="Calibri" w:eastAsia="Calibri" w:hAnsi="Calibri"/>
          <w:i/>
          <w:iCs/>
          <w:color w:val="555555"/>
          <w:sz w:val="18"/>
          <w:szCs w:val="18"/>
        </w:rPr>
        <w:t xml:space="preserve">Scheduled: 1:05 – 1:20 PM  ·  Allotted duration: 15 minutes  ·  Suggested length: up to ~1700 words</w:t>
      </w:r>
    </w:p>
    <w:p>
      <w:pPr>
        <w:spacing w:after="140" w:line="300"/>
      </w:pPr>
      <w:r>
        <w:rPr>
          <w:rFonts w:ascii="Calibri" w:cs="Calibri" w:eastAsia="Calibri" w:hAnsi="Calibri"/>
          <w:color w:val="222222"/>
          <w:sz w:val="21"/>
          <w:szCs w:val="21"/>
        </w:rPr>
        <w:t xml:space="preserve">Respected Chief Guests, Chief Patron, Secretary, fellow resource persons, and friends — it is an honour to join you from Nepal and to bring a further international perspective to this seminar.</w:t>
      </w:r>
    </w:p>
    <w:p>
      <w:pPr>
        <w:spacing w:after="140" w:line="300"/>
      </w:pPr>
      <w:r>
        <w:rPr>
          <w:rFonts w:ascii="Calibri" w:cs="Calibri" w:eastAsia="Calibri" w:hAnsi="Calibri"/>
          <w:color w:val="222222"/>
          <w:sz w:val="21"/>
          <w:szCs w:val="21"/>
        </w:rPr>
        <w:t xml:space="preserve">Nepal and India share a long history of educational exchange, and I believe today's theme of reimagining teacher training offers fresh common ground for both our countries to learn from one another.</w:t>
      </w:r>
    </w:p>
    <w:p>
      <w:pPr>
        <w:spacing w:after="30" w:before="100"/>
      </w:pPr>
      <w:r>
        <w:rPr>
          <w:rFonts w:ascii="Calibri" w:cs="Calibri" w:eastAsia="Calibri" w:hAnsi="Calibri"/>
          <w:b/>
          <w:bCs/>
          <w:i/>
          <w:iCs/>
          <w:color w:val="9C7620"/>
          <w:sz w:val="18"/>
          <w:szCs w:val="18"/>
        </w:rPr>
        <w:t xml:space="preserve">The Nepali context</w:t>
      </w:r>
    </w:p>
    <w:p>
      <w:pPr>
        <w:spacing w:after="140" w:line="300"/>
      </w:pPr>
      <w:r>
        <w:rPr>
          <w:rFonts w:ascii="Calibri" w:cs="Calibri" w:eastAsia="Calibri" w:hAnsi="Calibri"/>
          <w:color w:val="222222"/>
          <w:sz w:val="21"/>
          <w:szCs w:val="21"/>
        </w:rPr>
        <w:t xml:space="preserve">Nepal's teacher-education system has, in recent years, been reshaped alongside the country's broader move towards federalism and decentralized governance — with local-level teacher-training centres and community involvement in school governance taking on a larger role than before.</w:t>
      </w:r>
    </w:p>
    <w:p>
      <w:pPr>
        <w:spacing w:after="30" w:before="100"/>
      </w:pPr>
      <w:r>
        <w:rPr>
          <w:rFonts w:ascii="Calibri" w:cs="Calibri" w:eastAsia="Calibri" w:hAnsi="Calibri"/>
          <w:b/>
          <w:bCs/>
          <w:i/>
          <w:iCs/>
          <w:color w:val="9C7620"/>
          <w:sz w:val="18"/>
          <w:szCs w:val="18"/>
        </w:rPr>
        <w:t xml:space="preserve">Lessons and shared challenges</w:t>
      </w:r>
    </w:p>
    <w:p>
      <w:pPr>
        <w:spacing w:after="140" w:line="300"/>
      </w:pPr>
      <w:r>
        <w:rPr>
          <w:rFonts w:ascii="Calibri" w:cs="Calibri" w:eastAsia="Calibri" w:hAnsi="Calibri"/>
          <w:color w:val="222222"/>
          <w:sz w:val="21"/>
          <w:szCs w:val="21"/>
        </w:rPr>
        <w:t xml:space="preserve">This shift has brought real gains in responsiveness to local needs, but also familiar challenges of uneven resource distribution across very different terrain — from urban centres to remote mountain districts — a challenge I suspect will resonate with colleagues here working across India's own diverse regions.</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Both our countries are, in different ways, working out how to balance central policy direction with genuine local implementation — a balance that any vision of long-term national development ultimately depends on getting right.</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I would welcome continued and deepened academic exchange between Indian and Nepali institutions on teacher-education research and training methodology, building on conversations like today's.</w:t>
      </w:r>
    </w:p>
    <w:p>
      <w:pPr>
        <w:spacing w:after="140" w:line="300"/>
      </w:pPr>
      <w:r>
        <w:rPr>
          <w:rFonts w:ascii="Calibri" w:cs="Calibri" w:eastAsia="Calibri" w:hAnsi="Calibri"/>
          <w:color w:val="222222"/>
          <w:sz w:val="21"/>
          <w:szCs w:val="21"/>
        </w:rPr>
        <w:t xml:space="preserve">I thank Baikuntha College of Education for this opportunity, and I look forward to the remainder of today's proceedings.</w:t>
      </w:r>
    </w:p>
    <w:p>
      <w:pPr>
        <w:spacing w:after="160"/>
      </w:pPr>
    </w:p>
    <w:p>
      <w:pPr>
        <w:pStyle w:val="Heading2"/>
        <w:pBdr>
          <w:bottom w:val="single" w:color="CCCCCC" w:sz="4" w:space="4"/>
        </w:pBdr>
        <w:spacing w:after="40" w:before="300"/>
      </w:pPr>
      <w:r>
        <w:rPr>
          <w:rFonts w:ascii="Cambria" w:cs="Cambria" w:eastAsia="Cambria" w:hAnsi="Cambria"/>
          <w:b/>
          <w:bCs/>
          <w:color w:val="0D1B3E"/>
          <w:sz w:val="25"/>
          <w:szCs w:val="25"/>
        </w:rPr>
        <w:t xml:space="preserve">9 · Invited Address VI</w:t>
      </w:r>
    </w:p>
    <w:p>
      <w:pPr>
        <w:spacing w:after="140"/>
      </w:pPr>
      <w:r>
        <w:rPr>
          <w:rFonts w:ascii="Calibri" w:cs="Calibri" w:eastAsia="Calibri" w:hAnsi="Calibri"/>
          <w:i/>
          <w:iCs/>
          <w:color w:val="555555"/>
          <w:sz w:val="18"/>
          <w:szCs w:val="18"/>
        </w:rPr>
        <w:t xml:space="preserve">Prof. (Dr.) Subash Chandra Das  ·  National Resource Person</w:t>
      </w:r>
    </w:p>
    <w:p>
      <w:pPr>
        <w:spacing w:after="140"/>
      </w:pPr>
      <w:r>
        <w:rPr>
          <w:rFonts w:ascii="Calibri" w:cs="Calibri" w:eastAsia="Calibri" w:hAnsi="Calibri"/>
          <w:i/>
          <w:iCs/>
          <w:color w:val="555555"/>
          <w:sz w:val="18"/>
          <w:szCs w:val="18"/>
        </w:rPr>
        <w:t xml:space="preserve">Scheduled: 1:20 – 1:35 PM  ·  Allotted duration: 15 minutes  ·  Suggested length: up to ~1700 words</w:t>
      </w:r>
    </w:p>
    <w:p>
      <w:pPr>
        <w:spacing w:after="140" w:line="300"/>
      </w:pPr>
      <w:r>
        <w:rPr>
          <w:rFonts w:ascii="Calibri" w:cs="Calibri" w:eastAsia="Calibri" w:hAnsi="Calibri"/>
          <w:color w:val="222222"/>
          <w:sz w:val="21"/>
          <w:szCs w:val="21"/>
        </w:rPr>
        <w:t xml:space="preserve">Respected dignitaries, fellow resource persons, and dear participants — thank you for the opportunity to deliver the final invited address of this morning's academic session.</w:t>
      </w:r>
    </w:p>
    <w:p>
      <w:pPr>
        <w:spacing w:after="140" w:line="300"/>
      </w:pPr>
      <w:r>
        <w:rPr>
          <w:rFonts w:ascii="Calibri" w:cs="Calibri" w:eastAsia="Calibri" w:hAnsi="Calibri"/>
          <w:color w:val="222222"/>
          <w:sz w:val="21"/>
          <w:szCs w:val="21"/>
        </w:rPr>
        <w:t xml:space="preserve">As we draw this academic session towards its Open House discussion, I would like to offer a few closing reflections that tie together the threads we have heard so far today.</w:t>
      </w:r>
    </w:p>
    <w:p>
      <w:pPr>
        <w:spacing w:after="30" w:before="100"/>
      </w:pPr>
      <w:r>
        <w:rPr>
          <w:rFonts w:ascii="Calibri" w:cs="Calibri" w:eastAsia="Calibri" w:hAnsi="Calibri"/>
          <w:b/>
          <w:bCs/>
          <w:i/>
          <w:iCs/>
          <w:color w:val="9C7620"/>
          <w:sz w:val="18"/>
          <w:szCs w:val="18"/>
        </w:rPr>
        <w:t xml:space="preserve">Central argument</w:t>
      </w:r>
    </w:p>
    <w:p>
      <w:pPr>
        <w:spacing w:after="140" w:line="300"/>
      </w:pPr>
      <w:r>
        <w:rPr>
          <w:rFonts w:ascii="Calibri" w:cs="Calibri" w:eastAsia="Calibri" w:hAnsi="Calibri"/>
          <w:color w:val="222222"/>
          <w:sz w:val="21"/>
          <w:szCs w:val="21"/>
        </w:rPr>
        <w:t xml:space="preserve">Assessment practices within teacher education must themselves evolve — to measure genuine classroom readiness, not only theoretical knowledge recalled in an examination hall.</w:t>
      </w:r>
    </w:p>
    <w:p>
      <w:pPr>
        <w:spacing w:after="30" w:before="100"/>
      </w:pPr>
      <w:r>
        <w:rPr>
          <w:rFonts w:ascii="Calibri" w:cs="Calibri" w:eastAsia="Calibri" w:hAnsi="Calibri"/>
          <w:b/>
          <w:bCs/>
          <w:i/>
          <w:iCs/>
          <w:color w:val="9C7620"/>
          <w:sz w:val="18"/>
          <w:szCs w:val="18"/>
        </w:rPr>
        <w:t xml:space="preserve">Discussion</w:t>
      </w:r>
    </w:p>
    <w:p>
      <w:pPr>
        <w:spacing w:after="140" w:line="300"/>
      </w:pPr>
      <w:r>
        <w:rPr>
          <w:rFonts w:ascii="Calibri" w:cs="Calibri" w:eastAsia="Calibri" w:hAnsi="Calibri"/>
          <w:color w:val="222222"/>
          <w:sz w:val="21"/>
          <w:szCs w:val="21"/>
        </w:rPr>
        <w:t xml:space="preserve">Competency-based assessment, portfolio evaluation built up over the training period, and structured reflective assessment of practicum teaching all give a fuller and more honest picture of whether a trainee is actually prepared to teach.</w:t>
      </w:r>
    </w:p>
    <w:p>
      <w:pPr>
        <w:spacing w:after="30" w:before="100"/>
      </w:pPr>
      <w:r>
        <w:rPr>
          <w:rFonts w:ascii="Calibri" w:cs="Calibri" w:eastAsia="Calibri" w:hAnsi="Calibri"/>
          <w:b/>
          <w:bCs/>
          <w:i/>
          <w:iCs/>
          <w:color w:val="9C7620"/>
          <w:sz w:val="18"/>
          <w:szCs w:val="18"/>
        </w:rPr>
        <w:t xml:space="preserve">Connecting to Vikshit Bharat 2047</w:t>
      </w:r>
    </w:p>
    <w:p>
      <w:pPr>
        <w:spacing w:after="140" w:line="300"/>
      </w:pPr>
      <w:r>
        <w:rPr>
          <w:rFonts w:ascii="Calibri" w:cs="Calibri" w:eastAsia="Calibri" w:hAnsi="Calibri"/>
          <w:color w:val="222222"/>
          <w:sz w:val="21"/>
          <w:szCs w:val="21"/>
        </w:rPr>
        <w:t xml:space="preserve">Teachers who have been assessed for real classroom competence, and not simply for recall, will form a far stronger backbone for the education system that Vikshit Bharat 2047 depends upon.</w:t>
      </w:r>
    </w:p>
    <w:p>
      <w:pPr>
        <w:spacing w:after="30" w:before="100"/>
      </w:pPr>
      <w:r>
        <w:rPr>
          <w:rFonts w:ascii="Calibri" w:cs="Calibri" w:eastAsia="Calibri" w:hAnsi="Calibri"/>
          <w:b/>
          <w:bCs/>
          <w:i/>
          <w:iCs/>
          <w:color w:val="9C7620"/>
          <w:sz w:val="18"/>
          <w:szCs w:val="18"/>
        </w:rPr>
        <w:t xml:space="preserve">Recommendation</w:t>
      </w:r>
    </w:p>
    <w:p>
      <w:pPr>
        <w:spacing w:after="140" w:line="300"/>
      </w:pPr>
      <w:r>
        <w:rPr>
          <w:rFonts w:ascii="Calibri" w:cs="Calibri" w:eastAsia="Calibri" w:hAnsi="Calibri"/>
          <w:color w:val="222222"/>
          <w:sz w:val="21"/>
          <w:szCs w:val="21"/>
        </w:rPr>
        <w:t xml:space="preserve">I would recommend that a meaningful share of teacher-education assessment shift towards demonstrated classroom practice and reflective portfolios, alongside — not instead of — theoretical examination.</w:t>
      </w:r>
    </w:p>
    <w:p>
      <w:pPr>
        <w:spacing w:after="140" w:line="300"/>
      </w:pPr>
      <w:r>
        <w:rPr>
          <w:rFonts w:ascii="Calibri" w:cs="Calibri" w:eastAsia="Calibri" w:hAnsi="Calibri"/>
          <w:color w:val="222222"/>
          <w:sz w:val="21"/>
          <w:szCs w:val="21"/>
        </w:rPr>
        <w:t xml:space="preserve">Thank you all for your attention through this morning's session — I look forward to an engaging Open House discussion shortly.</w:t>
      </w:r>
    </w:p>
    <w:p>
      <w:pPr>
        <w:spacing w:after="160"/>
      </w:pP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Resource Person Speech Scripts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2026-08-25T16:46:07.716Z</dcterms:created>
  <dcterms:modified xsi:type="dcterms:W3CDTF">2026-08-25T16:46:07.735Z</dcterms:modified>
</cp:coreProperties>
</file>

<file path=docProps/custom.xml><?xml version="1.0" encoding="utf-8"?>
<Properties xmlns="http://schemas.openxmlformats.org/officeDocument/2006/custom-properties" xmlns:vt="http://schemas.openxmlformats.org/officeDocument/2006/docPropsVTypes"/>
</file>