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imes New Roman" w:cs="Times New Roman" w:eastAsia="Times New Roman" w:hAnsi="Times New Roman"/>
          <w:b/>
          <w:bCs/>
          <w:color w:val="0D1B3E"/>
          <w:sz w:val="32"/>
          <w:szCs w:val="32"/>
        </w:rPr>
        <w:t xml:space="preserve">BridgeYU – Empowering Schools &amp; Colleges with Digital Learning LMS</w:t>
      </w:r>
    </w:p>
    <w:p>
      <w:pPr>
        <w:spacing w:after="40"/>
        <w:jc w:val="center"/>
      </w:pPr>
      <w:r>
        <w:rPr>
          <w:rFonts w:ascii="Times New Roman" w:cs="Times New Roman" w:eastAsia="Times New Roman" w:hAnsi="Times New Roman"/>
          <w:b/>
          <w:bCs/>
          <w:color w:val="1A1A1A"/>
          <w:sz w:val="26"/>
          <w:szCs w:val="26"/>
        </w:rPr>
        <w:t xml:space="preserve">Kingsukh Roy and Moupriya Saha</w:t>
      </w:r>
    </w:p>
    <w:p>
      <w:pPr>
        <w:spacing w:after="260"/>
        <w:jc w:val="center"/>
      </w:pPr>
      <w:r>
        <w:rPr>
          <w:rFonts w:ascii="Times New Roman" w:cs="Times New Roman" w:eastAsia="Times New Roman" w:hAnsi="Times New Roman"/>
          <w:i/>
          <w:iCs/>
          <w:color w:val="555555"/>
          <w:sz w:val="22"/>
          <w:szCs w:val="22"/>
        </w:rPr>
        <w:t xml:space="preserve">VirtualCraft Infotech Private Limited (BridgeYU.com)</w:t>
      </w:r>
    </w:p>
    <w:p>
      <w:pPr>
        <w:spacing w:after="80" w:before="100"/>
      </w:pPr>
      <w:r>
        <w:rPr>
          <w:rFonts w:ascii="Times New Roman" w:cs="Times New Roman" w:eastAsia="Times New Roman" w:hAnsi="Times New Roman"/>
          <w:b/>
          <w:bCs/>
          <w:color w:val="0D1B3E"/>
          <w:sz w:val="24"/>
          <w:szCs w:val="24"/>
        </w:rPr>
        <w:t xml:space="preserve">Abstract</w:t>
      </w:r>
    </w:p>
    <w:p>
      <w:pPr>
        <w:spacing w:after="160" w:line="300"/>
        <w:ind w:left="260" w:right="260"/>
        <w:jc w:val="both"/>
      </w:pPr>
      <w:r>
        <w:rPr>
          <w:rFonts w:ascii="Times New Roman" w:cs="Times New Roman" w:eastAsia="Times New Roman" w:hAnsi="Times New Roman"/>
          <w:i/>
          <w:iCs/>
          <w:color w:val="1A1A1A"/>
          <w:sz w:val="22"/>
          <w:szCs w:val="22"/>
        </w:rPr>
        <w:t xml:space="preserve">This paper presents a conceptual and pedagogical examination of BridgeYU, a Learning Management System (LMS) designed to support schools and colleges in India as they transition toward technology-enabled, learner-centred instruction. Situated within the policy context of the National Education Policy (NEP) 2020 and global discourses on digital pedagogy, the paper describes BridgeYU's modular architecture spanning institutional administration, content and course management, assessment and feedback, learning analytics, teacher upskilling, and accessibility. Drawing on established frameworks including TPACK, Universal Design for Learning, connectivism, and formative assessment theory, the paper argues that an LMS is not merely an administrative or content-delivery tool but a potential enabler of differentiated instruction, continuous teacher professional development, and data-informed pedagogy. The discussion considers the platform's possible impact on schools and colleges while candidly addressing structural challenges to LMS adoption in the Indian context, including infrastructural disparity, digital literacy gaps, and change-management concerns. The paper concludes by proposing future directions for platforms of this kind, emphasising teacher agency, contextual localisation, and evidence-based iteration as prerequisites for meaningful integration into India's Vikshit Bharat@2047 vision for education.</w:t>
      </w:r>
    </w:p>
    <w:p>
      <w:pPr>
        <w:spacing w:after="220" w:line="300"/>
      </w:pPr>
      <w:r>
        <w:rPr>
          <w:rFonts w:ascii="Times New Roman" w:cs="Times New Roman" w:eastAsia="Times New Roman" w:hAnsi="Times New Roman"/>
          <w:b/>
          <w:bCs/>
          <w:i/>
          <w:iCs/>
          <w:color w:val="1A1A1A"/>
          <w:sz w:val="22"/>
          <w:szCs w:val="22"/>
        </w:rPr>
        <w:t xml:space="preserve">Keywords: </w:t>
      </w:r>
      <w:r>
        <w:rPr>
          <w:rFonts w:ascii="Times New Roman" w:cs="Times New Roman" w:eastAsia="Times New Roman" w:hAnsi="Times New Roman"/>
          <w:i/>
          <w:iCs/>
          <w:color w:val="1A1A1A"/>
          <w:sz w:val="22"/>
          <w:szCs w:val="22"/>
        </w:rPr>
        <w:t xml:space="preserve">Learning Management System, digital pedagogy, teacher professional development, NEP 2020, learning analytics, Universal Design for Learning</w:t>
      </w:r>
    </w:p>
    <w:p>
      <w:pPr>
        <w:spacing w:after="120" w:before="260"/>
      </w:pPr>
      <w:r>
        <w:rPr>
          <w:rFonts w:ascii="Times New Roman" w:cs="Times New Roman" w:eastAsia="Times New Roman" w:hAnsi="Times New Roman"/>
          <w:b/>
          <w:bCs/>
          <w:color w:val="0D1B3E"/>
          <w:sz w:val="26"/>
          <w:szCs w:val="26"/>
        </w:rPr>
        <w:t xml:space="preserve">1. Introduction</w:t>
      </w:r>
    </w:p>
    <w:p>
      <w:pPr>
        <w:spacing w:after="160" w:line="360"/>
        <w:ind w:firstLine="400"/>
        <w:jc w:val="both"/>
      </w:pPr>
      <w:r>
        <w:rPr>
          <w:rFonts w:ascii="Times New Roman" w:cs="Times New Roman" w:eastAsia="Times New Roman" w:hAnsi="Times New Roman"/>
          <w:color w:val="1A1A1A"/>
          <w:sz w:val="24"/>
          <w:szCs w:val="24"/>
        </w:rPr>
        <w:t xml:space="preserve">The classroom of the twenty-first century is no longer bounded by four walls, a fixed timetable, or a single mode of delivery. Teachers today are expected to differentiate instruction for heterogeneous learners, generate and interpret data on student progress, integrate multimedia and interactive resources into their pedagogy, and do all of this while continuing their own professional growth. This expanding mandate has coincided with a period of significant policy emphasis on technology-enabled education in India. The National Education Policy (NEP 2020), formulated by the Ministry of Human Resource Development (now Ministry of Education), explicitly calls for the integration of technology at all levels of education, the creation of a National Educational Technology Forum, and sustained investment in teacher capacity-building (Ministry of Human Resource Development, 2020). Parallel to this policy momentum, India's broader developmental vision — often summarised as Vikshit Bharat@2047 — situates education as a central pillar of national transformation, implying that classrooms across the country, from metropolitan schools to rural colleges, must be equipped to prepare learners for a knowledge economy.</w:t>
      </w:r>
    </w:p>
    <w:p>
      <w:pPr>
        <w:spacing w:after="160" w:line="360"/>
        <w:ind w:firstLine="400"/>
        <w:jc w:val="both"/>
      </w:pPr>
      <w:r>
        <w:rPr>
          <w:rFonts w:ascii="Times New Roman" w:cs="Times New Roman" w:eastAsia="Times New Roman" w:hAnsi="Times New Roman"/>
          <w:color w:val="1A1A1A"/>
          <w:sz w:val="24"/>
          <w:szCs w:val="24"/>
        </w:rPr>
        <w:t xml:space="preserve">It is within this context that Learning Management Systems (LMS) have moved from being peripheral administrative tools to being considered integral components of institutional strategy. An LMS, broadly defined, is a software platform that enables institutions to plan, deliver, manage, and assess learning activities, typically encompassing course content, communication, assessment, and reporting functions (Bates, 2019). While LMS platforms have existed in some form for over two decades, their pedagogical potential is realised only when their design is grounded in sound educational theory rather than treated as a simple digitisation of existing print-based processes (Garrison &amp; Vaughan, 2008).</w:t>
      </w:r>
    </w:p>
    <w:p>
      <w:pPr>
        <w:spacing w:after="160" w:line="360"/>
        <w:ind w:firstLine="400"/>
        <w:jc w:val="both"/>
      </w:pPr>
      <w:r>
        <w:rPr>
          <w:rFonts w:ascii="Times New Roman" w:cs="Times New Roman" w:eastAsia="Times New Roman" w:hAnsi="Times New Roman"/>
          <w:color w:val="1A1A1A"/>
          <w:sz w:val="24"/>
          <w:szCs w:val="24"/>
        </w:rPr>
        <w:t xml:space="preserve">This paper introduces BridgeYU, an LMS developed by VirtualCraft Infotech Private Limited, and offers a conceptual account of its architecture and features as they relate to established pedagogical frameworks. The intention of this paper is deliberately dual: it is written both as an academic contribution engaging with literature on digital learning and teacher development, and as an industry perspective describing how a platform of this kind might be designed to support Indian schools and colleges. Throughout, product claims are framed conceptually and illustratively — describing what such a system is designed to enable — rather than through unverified performance figures, since the purpose of this paper is to stimulate scholarly and practitioner dialogue on LMS design rather than to present empirical outcome data. The paper proceeds by reviewing relevant literature, stating its objectives, describing BridgeYU's conceptual architecture, elaborating its key features and their pedagogical rationale, discussing potential institutional impact, examining adoption challenges specific to the Indian context, and concluding with directions for future development.</w:t>
      </w:r>
    </w:p>
    <w:p>
      <w:pPr>
        <w:spacing w:after="120" w:before="260"/>
      </w:pPr>
      <w:r>
        <w:rPr>
          <w:rFonts w:ascii="Times New Roman" w:cs="Times New Roman" w:eastAsia="Times New Roman" w:hAnsi="Times New Roman"/>
          <w:b/>
          <w:bCs/>
          <w:color w:val="0D1B3E"/>
          <w:sz w:val="26"/>
          <w:szCs w:val="26"/>
        </w:rPr>
        <w:t xml:space="preserve">2. Review of Related Literature</w:t>
      </w:r>
    </w:p>
    <w:p>
      <w:pPr>
        <w:spacing w:after="160" w:line="360"/>
        <w:ind w:firstLine="400"/>
        <w:jc w:val="both"/>
      </w:pPr>
      <w:r>
        <w:rPr>
          <w:rFonts w:ascii="Times New Roman" w:cs="Times New Roman" w:eastAsia="Times New Roman" w:hAnsi="Times New Roman"/>
          <w:color w:val="1A1A1A"/>
          <w:sz w:val="24"/>
          <w:szCs w:val="24"/>
        </w:rPr>
        <w:t xml:space="preserve">The literature on digital learning platforms spans several intersecting strands: the pedagogy of teaching in digital environments, the specific affordances and limitations of LMS platforms, the trajectory of ed-tech policy and practice in India, and the professional development needs of teachers navigating technology-mediated instruction.</w:t>
      </w:r>
    </w:p>
    <w:p>
      <w:pPr>
        <w:spacing w:after="160" w:line="360"/>
        <w:ind w:firstLine="400"/>
        <w:jc w:val="both"/>
      </w:pPr>
      <w:r>
        <w:rPr>
          <w:rFonts w:ascii="Times New Roman" w:cs="Times New Roman" w:eastAsia="Times New Roman" w:hAnsi="Times New Roman"/>
          <w:color w:val="1A1A1A"/>
          <w:sz w:val="24"/>
          <w:szCs w:val="24"/>
        </w:rPr>
        <w:t xml:space="preserve">Bates (2019) offers a foundational account of teaching in a digital age, arguing that technology should never be adopted for its own sake but must be selected and deployed in service of clearly articulated learning outcomes. This principle — that pedagogy should drive technology choices rather than the reverse — recurs throughout the literature and forms a guiding assumption for this paper. Complementing this, Garrison and Vaughan (2008) developed the influential framework of blended learning, demonstrating that the integration of face-to-face and online modalities, when thoughtfully designed, can enhance the "community of inquiry" comprising social, cognitive, and teaching presence. Their work underscores that an LMS functions best not as a replacement for the classroom teacher but as an extension of the teacher's pedagogical reach.</w:t>
      </w:r>
    </w:p>
    <w:p>
      <w:pPr>
        <w:spacing w:after="160" w:line="360"/>
        <w:ind w:firstLine="400"/>
        <w:jc w:val="both"/>
      </w:pPr>
      <w:r>
        <w:rPr>
          <w:rFonts w:ascii="Times New Roman" w:cs="Times New Roman" w:eastAsia="Times New Roman" w:hAnsi="Times New Roman"/>
          <w:color w:val="1A1A1A"/>
          <w:sz w:val="24"/>
          <w:szCs w:val="24"/>
        </w:rPr>
        <w:t xml:space="preserve">A second strand of literature concerns how technology should be integrated with content and pedagogy. Mishra and Koehler's (2006) Technological Pedagogical Content Knowledge (TPACK) framework remains among the most widely cited models for understanding effective technology integration, positing that meaningful use of educational technology requires the intersection of technological, pedagogical, and content knowledge, rather than technical proficiency alone. This framework is particularly relevant to teacher upskilling initiatives embedded within LMS platforms, since it suggests that training teachers merely to operate software is insufficient; teachers must also be supported in reimagining how technology reshapes the representation and teaching of content.</w:t>
      </w:r>
    </w:p>
    <w:p>
      <w:pPr>
        <w:spacing w:after="160" w:line="360"/>
        <w:ind w:firstLine="400"/>
        <w:jc w:val="both"/>
      </w:pPr>
      <w:r>
        <w:rPr>
          <w:rFonts w:ascii="Times New Roman" w:cs="Times New Roman" w:eastAsia="Times New Roman" w:hAnsi="Times New Roman"/>
          <w:color w:val="1A1A1A"/>
          <w:sz w:val="24"/>
          <w:szCs w:val="24"/>
        </w:rPr>
        <w:t xml:space="preserve">A third strand addresses learning analytics and connectivism. Siemens (2005) proposed connectivism as a learning theory suited to networked, technology-rich environments, arguing that learning increasingly involves navigating and forming connections across distributed information sources. Building on this, the field of learning analytics — the measurement, collection, and analysis of data about learners for the purposes of understanding and optimising learning (Siemens, 2013) — has become central to how LMS platforms are evaluated. Analytics dashboards, when designed appropriately, can support formative decision-making by both teachers and institutional leaders, though scholars caution against conflating data availability with pedagogical insight.</w:t>
      </w:r>
    </w:p>
    <w:p>
      <w:pPr>
        <w:spacing w:after="160" w:line="360"/>
        <w:ind w:firstLine="400"/>
        <w:jc w:val="both"/>
      </w:pPr>
      <w:r>
        <w:rPr>
          <w:rFonts w:ascii="Times New Roman" w:cs="Times New Roman" w:eastAsia="Times New Roman" w:hAnsi="Times New Roman"/>
          <w:color w:val="1A1A1A"/>
          <w:sz w:val="24"/>
          <w:szCs w:val="24"/>
        </w:rPr>
        <w:t xml:space="preserve">Assessment theory constitutes a fourth strand. Black and Wiliam's (1998) seminal work on formative assessment established that frequent, actionable feedback — rather than assessment used solely for grading — has a substantial effect on student learning, provided that feedback is timely, specific, and used to adjust instruction. This body of work has direct implications for how assessment and feedback modules within an LMS ought to be designed: not merely as digitised gradebooks, but as mechanisms for continuous formative dialogue between teacher and learner.</w:t>
      </w:r>
    </w:p>
    <w:p>
      <w:pPr>
        <w:spacing w:after="160" w:line="360"/>
        <w:ind w:firstLine="400"/>
        <w:jc w:val="both"/>
      </w:pPr>
      <w:r>
        <w:rPr>
          <w:rFonts w:ascii="Times New Roman" w:cs="Times New Roman" w:eastAsia="Times New Roman" w:hAnsi="Times New Roman"/>
          <w:color w:val="1A1A1A"/>
          <w:sz w:val="24"/>
          <w:szCs w:val="24"/>
        </w:rPr>
        <w:t xml:space="preserve">Differentiated instruction and inclusive design form a fifth relevant strand. Tomlinson (2001) argued that effective teaching requires responsiveness to the varied readiness levels, interests, and learning profiles of students within a single classroom, a principle that digital platforms can support through adaptive content sequencing. Relatedly, the Universal Design for Learning (UDL) framework developed by CAST (2018) proposes that curricula should be designed from the outset to accommodate variability in how learners perceive information, express understanding, and engage with material, offering multiple means of representation, action and expression, and engagement. UDL principles are increasingly cited as a design benchmark for accessible LMS interfaces and content delivery.</w:t>
      </w:r>
    </w:p>
    <w:p>
      <w:pPr>
        <w:spacing w:after="160" w:line="360"/>
        <w:ind w:firstLine="400"/>
        <w:jc w:val="both"/>
      </w:pPr>
      <w:r>
        <w:rPr>
          <w:rFonts w:ascii="Times New Roman" w:cs="Times New Roman" w:eastAsia="Times New Roman" w:hAnsi="Times New Roman"/>
          <w:color w:val="1A1A1A"/>
          <w:sz w:val="24"/>
          <w:szCs w:val="24"/>
        </w:rPr>
        <w:t xml:space="preserve">A sixth strand concerns multimedia learning. Mayer's (2009) cognitive theory of multimedia learning demonstrates that the way information is presented — through the combined and coordinated use of text, narration, and visuals — has measurable effects on learners' cognitive load and retention, offering design principles (such as coherence, signalling, and modality) directly applicable to how an LMS structures video lectures, animations, and interactive content.</w:t>
      </w:r>
    </w:p>
    <w:p>
      <w:pPr>
        <w:spacing w:after="160" w:line="360"/>
        <w:ind w:firstLine="400"/>
        <w:jc w:val="both"/>
      </w:pPr>
      <w:r>
        <w:rPr>
          <w:rFonts w:ascii="Times New Roman" w:cs="Times New Roman" w:eastAsia="Times New Roman" w:hAnsi="Times New Roman"/>
          <w:color w:val="1A1A1A"/>
          <w:sz w:val="24"/>
          <w:szCs w:val="24"/>
        </w:rPr>
        <w:t xml:space="preserve">Finally, literature on educational change and teacher professional development situates technology adoption within broader institutional dynamics. Fullan (2007) observed that educational reform efforts frequently fail not because of the inadequacy of the innovation itself but because of insufficient attention to the change process, including stakeholder buy-in, capacity-building, and sustained support. Darling-Hammond, Hyler, and Gardner (2017) similarly emphasise that effective teacher professional development is sustained, collaborative, and grounded in practice, rather than delivered through one-off workshops — a finding with direct implications for how teacher upskilling modules within an LMS should be conceived. At a policy level, UNESCO (2023) has repeatedly emphasised that ICT integration in education must be pursued equitably, with attention to infrastructure, teacher readiness, and content localisation, cautioning against approaches that assume uniform access or readiness across diverse educational contexts — a caution of particular relevance to India's varied schooling landscape.</w:t>
      </w:r>
    </w:p>
    <w:p>
      <w:pPr>
        <w:spacing w:after="160" w:line="360"/>
        <w:ind w:firstLine="400"/>
        <w:jc w:val="both"/>
      </w:pPr>
      <w:r>
        <w:rPr>
          <w:rFonts w:ascii="Times New Roman" w:cs="Times New Roman" w:eastAsia="Times New Roman" w:hAnsi="Times New Roman"/>
          <w:color w:val="1A1A1A"/>
          <w:sz w:val="24"/>
          <w:szCs w:val="24"/>
        </w:rPr>
        <w:t xml:space="preserve">Taken together, this literature suggests that an LMS intended for the Indian school and college context should be evaluated not on technical sophistication alone, but on the extent to which its architecture embodies these pedagogical principles: teacher-centred change management, TPACK-aligned upskilling, formative assessment, differentiated and universally designed content, multimedia principles that manage cognitive load, and analytics that inform rather than merely record.</w:t>
      </w:r>
    </w:p>
    <w:p>
      <w:pPr>
        <w:spacing w:after="120" w:before="260"/>
      </w:pPr>
      <w:r>
        <w:rPr>
          <w:rFonts w:ascii="Times New Roman" w:cs="Times New Roman" w:eastAsia="Times New Roman" w:hAnsi="Times New Roman"/>
          <w:b/>
          <w:bCs/>
          <w:color w:val="0D1B3E"/>
          <w:sz w:val="26"/>
          <w:szCs w:val="26"/>
        </w:rPr>
        <w:t xml:space="preserve">3. Objectives of the Paper</w:t>
      </w:r>
    </w:p>
    <w:p>
      <w:pPr>
        <w:spacing w:after="160" w:line="360"/>
        <w:ind w:firstLine="400"/>
        <w:jc w:val="both"/>
      </w:pPr>
      <w:r>
        <w:rPr>
          <w:rFonts w:ascii="Times New Roman" w:cs="Times New Roman" w:eastAsia="Times New Roman" w:hAnsi="Times New Roman"/>
          <w:color w:val="1A1A1A"/>
          <w:sz w:val="24"/>
          <w:szCs w:val="24"/>
        </w:rPr>
        <w:t xml:space="preserve">This paper pursues four interrelated objectives. First, it aims to situate the design of a contemporary LMS, BridgeYU, within established theoretical frameworks of digital pedagogy, teacher development, assessment, and inclusive design, thereby grounding an industry product description in scholarly discourse rather than presenting it as an unsubstantiated commercial claim. Second, it seeks to offer a conceptual account of BridgeYU's modular architecture, describing how institutional administration, content management, assessment, analytics, teacher upskilling, and accessibility layers might interrelate within a coherent LMS design. Third, the paper aims to critically discuss the potential impact of such a platform on schools and colleges, while remaining attentive to the structural and contextual challenges that LMS adoption faces in India, including infrastructural, linguistic, and capacity-related constraints. Fourth, the paper intends to contribute to seminar-level dialogue among teacher educators, policy stakeholders, and ed-tech practitioners on how digital platforms might meaningfully support the goals of NEP 2020 and the longer-term vision of Vikshit Bharat@2047, by proposing future directions grounded in evidence-based iteration rather than in unverified performance narratives.</w:t>
      </w:r>
    </w:p>
    <w:p>
      <w:pPr>
        <w:spacing w:after="120" w:before="260"/>
      </w:pPr>
      <w:r>
        <w:rPr>
          <w:rFonts w:ascii="Times New Roman" w:cs="Times New Roman" w:eastAsia="Times New Roman" w:hAnsi="Times New Roman"/>
          <w:b/>
          <w:bCs/>
          <w:color w:val="0D1B3E"/>
          <w:sz w:val="26"/>
          <w:szCs w:val="26"/>
        </w:rPr>
        <w:t xml:space="preserve">4. BridgeYU — Conceptual Overview and Architecture</w:t>
      </w:r>
    </w:p>
    <w:p>
      <w:pPr>
        <w:spacing w:after="160" w:line="360"/>
        <w:ind w:firstLine="400"/>
        <w:jc w:val="both"/>
      </w:pPr>
      <w:r>
        <w:rPr>
          <w:rFonts w:ascii="Times New Roman" w:cs="Times New Roman" w:eastAsia="Times New Roman" w:hAnsi="Times New Roman"/>
          <w:color w:val="1A1A1A"/>
          <w:sz w:val="24"/>
          <w:szCs w:val="24"/>
        </w:rPr>
        <w:t xml:space="preserve">BridgeYU is conceived as a modular Learning Management System intended to serve the operational and pedagogical needs of schools and colleges within a single, interoperable environment. Rather than functioning as a single monolithic application, the platform is designed around distinct but interconnected layers, each addressing a specific dimension of institutional and classroom activity. This modularity is intentional: it allows an institution to adopt components incrementally, aligned with its existing digital maturity, rather than requiring a wholesale transformation of practice on day one — a design consideration consistent with Fullan's (2007) observation that successful change is typically incremental and capacity-sensitive rather than abrupt.</w:t>
      </w:r>
    </w:p>
    <w:p>
      <w:pPr>
        <w:spacing w:after="160" w:line="360"/>
        <w:ind w:firstLine="400"/>
        <w:jc w:val="both"/>
      </w:pPr>
      <w:r>
        <w:rPr>
          <w:rFonts w:ascii="Times New Roman" w:cs="Times New Roman" w:eastAsia="Times New Roman" w:hAnsi="Times New Roman"/>
          <w:color w:val="1A1A1A"/>
          <w:sz w:val="24"/>
          <w:szCs w:val="24"/>
        </w:rPr>
        <w:t xml:space="preserve">At the foundation lies the institutional administration layer, which is designed to handle functions such as admissions records, timetabling, attendance, fee and communication workflows, and role-based access for administrators, teachers, students, and guardians. This layer is conceptualised as the backbone that allows the more pedagogically oriented layers above it to function within a coherent institutional workflow, rather than as isolated tools.</w:t>
      </w:r>
    </w:p>
    <w:p>
      <w:pPr>
        <w:spacing w:after="160" w:line="360"/>
        <w:ind w:firstLine="400"/>
        <w:jc w:val="both"/>
      </w:pPr>
      <w:r>
        <w:rPr>
          <w:rFonts w:ascii="Times New Roman" w:cs="Times New Roman" w:eastAsia="Times New Roman" w:hAnsi="Times New Roman"/>
          <w:color w:val="1A1A1A"/>
          <w:sz w:val="24"/>
          <w:szCs w:val="24"/>
        </w:rPr>
        <w:t xml:space="preserve">Above this sits the content and course management layer, through which teachers and institutions can structure curricula into courses, modules, and lessons, and populate them with text, multimedia, and interactive resources. This layer is designed with Mayer's (2009) multimedia learning principles in mind, aiming to support coherent sequencing of content and multiple modes of representation rather than simple file storage.</w:t>
      </w:r>
    </w:p>
    <w:p>
      <w:pPr>
        <w:spacing w:after="160" w:line="360"/>
        <w:ind w:firstLine="400"/>
        <w:jc w:val="both"/>
      </w:pPr>
      <w:r>
        <w:rPr>
          <w:rFonts w:ascii="Times New Roman" w:cs="Times New Roman" w:eastAsia="Times New Roman" w:hAnsi="Times New Roman"/>
          <w:color w:val="1A1A1A"/>
          <w:sz w:val="24"/>
          <w:szCs w:val="24"/>
        </w:rPr>
        <w:t xml:space="preserve">The assessment and feedback layer is designed to enable both formative and summative assessment activities — quizzes, assignments, rubric-based evaluation, and peer or teacher feedback loops — reflecting Black and Wiliam's (1998) emphasis on assessment as an ongoing dialogic process rather than a terminal event.</w:t>
      </w:r>
    </w:p>
    <w:p>
      <w:pPr>
        <w:spacing w:after="160" w:line="360"/>
        <w:ind w:firstLine="400"/>
        <w:jc w:val="both"/>
      </w:pPr>
      <w:r>
        <w:rPr>
          <w:rFonts w:ascii="Times New Roman" w:cs="Times New Roman" w:eastAsia="Times New Roman" w:hAnsi="Times New Roman"/>
          <w:color w:val="1A1A1A"/>
          <w:sz w:val="24"/>
          <w:szCs w:val="24"/>
        </w:rPr>
        <w:t xml:space="preserve">Layered above these functional components is the learning analytics layer, conceived as a dashboard-based system that aggregates usage, engagement, and performance data to surface patterns for teachers, administrators, and, in appropriate form, students themselves. Consistent with Siemens' (2013) framing of learning analytics, this layer is intended to support interpretation and decision-making rather than to present data as an end in itself.</w:t>
      </w:r>
    </w:p>
    <w:p>
      <w:pPr>
        <w:spacing w:after="160" w:line="360"/>
        <w:ind w:firstLine="400"/>
        <w:jc w:val="both"/>
      </w:pPr>
      <w:r>
        <w:rPr>
          <w:rFonts w:ascii="Times New Roman" w:cs="Times New Roman" w:eastAsia="Times New Roman" w:hAnsi="Times New Roman"/>
          <w:color w:val="1A1A1A"/>
          <w:sz w:val="24"/>
          <w:szCs w:val="24"/>
        </w:rPr>
        <w:t xml:space="preserve">A distinguishing element of BridgeYU's conceptual architecture is the teacher upskilling layer, embedded within the platform rather than treated as an external add-on. This layer is designed to host structured professional development pathways, reflecting the TPACK framework's insistence that technology integration training must be tied to pedagogy and content, not treated as a standalone technical skill (Mishra &amp; Koehler, 2006).</w:t>
      </w:r>
    </w:p>
    <w:p>
      <w:pPr>
        <w:spacing w:after="160" w:line="360"/>
        <w:ind w:firstLine="400"/>
        <w:jc w:val="both"/>
      </w:pPr>
      <w:r>
        <w:rPr>
          <w:rFonts w:ascii="Times New Roman" w:cs="Times New Roman" w:eastAsia="Times New Roman" w:hAnsi="Times New Roman"/>
          <w:color w:val="1A1A1A"/>
          <w:sz w:val="24"/>
          <w:szCs w:val="24"/>
        </w:rPr>
        <w:t xml:space="preserve">Finally, an accessibility and localisation layer cuts horizontally across all other layers, intended to ensure that content, interface, and assessment can be adapted for learners with diverse needs and for India's linguistic diversity, drawing conceptually on UDL principles (CAST, 2018). Figure 1 (conceptual, not reproduced here) would depict these six layers as concentric or stacked components, with the accessibility and localisation layer wrapping around the others to signal its cross-cutting nature rather than its status as a discrete module.</w:t>
      </w:r>
    </w:p>
    <w:p>
      <w:pPr>
        <w:spacing w:after="120" w:before="260"/>
      </w:pPr>
      <w:r>
        <w:rPr>
          <w:rFonts w:ascii="Times New Roman" w:cs="Times New Roman" w:eastAsia="Times New Roman" w:hAnsi="Times New Roman"/>
          <w:b/>
          <w:bCs/>
          <w:color w:val="0D1B3E"/>
          <w:sz w:val="26"/>
          <w:szCs w:val="26"/>
        </w:rPr>
        <w:t xml:space="preserve">5. Key Features and Pedagogical Rationale</w:t>
      </w:r>
    </w:p>
    <w:p>
      <w:pPr>
        <w:spacing w:after="90" w:before="160"/>
      </w:pPr>
      <w:r>
        <w:rPr>
          <w:rFonts w:ascii="Times New Roman" w:cs="Times New Roman" w:eastAsia="Times New Roman" w:hAnsi="Times New Roman"/>
          <w:b/>
          <w:bCs/>
          <w:i/>
          <w:iCs/>
          <w:color w:val="9C7620"/>
          <w:sz w:val="24"/>
          <w:szCs w:val="24"/>
        </w:rPr>
        <w:t xml:space="preserve">5.1 AI-Powered Personalized Learning Paths</w:t>
      </w:r>
    </w:p>
    <w:p>
      <w:pPr>
        <w:spacing w:after="160" w:line="360"/>
        <w:ind w:firstLine="400"/>
        <w:jc w:val="both"/>
      </w:pPr>
      <w:r>
        <w:rPr>
          <w:rFonts w:ascii="Times New Roman" w:cs="Times New Roman" w:eastAsia="Times New Roman" w:hAnsi="Times New Roman"/>
          <w:color w:val="1A1A1A"/>
          <w:sz w:val="24"/>
          <w:szCs w:val="24"/>
        </w:rPr>
        <w:t xml:space="preserve">BridgeYU is designed to incorporate adaptive sequencing mechanisms that can adjust the pace, sequence, or supplementary resources offered to a learner based on demonstrated performance and engagement patterns. The pedagogical rationale for such a feature draws directly on Tomlinson's (2001) framework of differentiated instruction, which holds that learners within the same classroom vary meaningfully in readiness, interest, and preferred mode of engagement, and that instruction responsive to this variance tends to be more effective than uniform, one-size-fits-all delivery. Rather than positioning artificial intelligence as a replacement for teacher judgment, personalised learning paths within a platform of this kind are conceptually designed to function as a decision-support layer — surfacing recommendations that a teacher can accept, modify, or override, thereby preserving what Garrison and Vaughan (2008) describe as teaching presence within a technology-mediated environment.</w:t>
      </w:r>
    </w:p>
    <w:p>
      <w:pPr>
        <w:spacing w:after="90" w:before="160"/>
      </w:pPr>
      <w:r>
        <w:rPr>
          <w:rFonts w:ascii="Times New Roman" w:cs="Times New Roman" w:eastAsia="Times New Roman" w:hAnsi="Times New Roman"/>
          <w:b/>
          <w:bCs/>
          <w:i/>
          <w:iCs/>
          <w:color w:val="9C7620"/>
          <w:sz w:val="24"/>
          <w:szCs w:val="24"/>
        </w:rPr>
        <w:t xml:space="preserve">5.2 Teacher Upskilling Modules</w:t>
      </w:r>
    </w:p>
    <w:p>
      <w:pPr>
        <w:spacing w:after="160" w:line="360"/>
        <w:ind w:firstLine="400"/>
        <w:jc w:val="both"/>
      </w:pPr>
      <w:r>
        <w:rPr>
          <w:rFonts w:ascii="Times New Roman" w:cs="Times New Roman" w:eastAsia="Times New Roman" w:hAnsi="Times New Roman"/>
          <w:color w:val="1A1A1A"/>
          <w:sz w:val="24"/>
          <w:szCs w:val="24"/>
        </w:rPr>
        <w:t xml:space="preserve">Recognising that the successful integration of any LMS depends fundamentally on teacher capacity and confidence, BridgeYU's teacher upskilling modules are conceived as structured, sustained professional development pathways rather than one-time onboarding tutorials. This design choice reflects Darling-Hammond et al.'s (2017) finding that effective professional development is job-embedded, collaborative, and iterative. Modules of this kind might cover not only platform navigation but pedagogical themes such as designing formative assessments, structuring blended lessons, and applying UDL principles to digital content — aligning with the TPACK premise that technology training should be inseparable from pedagogical and content considerations (Mishra &amp; Koehler, 2006). Such modules are also envisioned as directly responsive to NEP 2020's call for continuous teacher professional development as a policy priority (Ministry of Human Resource Development, 2020).</w:t>
      </w:r>
    </w:p>
    <w:p>
      <w:pPr>
        <w:spacing w:after="90" w:before="160"/>
      </w:pPr>
      <w:r>
        <w:rPr>
          <w:rFonts w:ascii="Times New Roman" w:cs="Times New Roman" w:eastAsia="Times New Roman" w:hAnsi="Times New Roman"/>
          <w:b/>
          <w:bCs/>
          <w:i/>
          <w:iCs/>
          <w:color w:val="9C7620"/>
          <w:sz w:val="24"/>
          <w:szCs w:val="24"/>
        </w:rPr>
        <w:t xml:space="preserve">5.3 Learning Analytics Dashboards</w:t>
      </w:r>
    </w:p>
    <w:p>
      <w:pPr>
        <w:spacing w:after="160" w:line="360"/>
        <w:ind w:firstLine="400"/>
        <w:jc w:val="both"/>
      </w:pPr>
      <w:r>
        <w:rPr>
          <w:rFonts w:ascii="Times New Roman" w:cs="Times New Roman" w:eastAsia="Times New Roman" w:hAnsi="Times New Roman"/>
          <w:color w:val="1A1A1A"/>
          <w:sz w:val="24"/>
          <w:szCs w:val="24"/>
        </w:rPr>
        <w:t xml:space="preserve">The analytics dashboards within BridgeYU are conceptually designed to translate raw usage and performance data into interpretable visual summaries for teachers, department heads, and institutional leadership. Drawing on Siemens' (2013) articulation of learning analytics as a tool for optimising learning and its environments, these dashboards are intended to surface patterns such as engagement trends across a cohort, uneven progress on specific topics, or assessment items that a disproportionate number of learners struggle with — information that can inform a teacher's next instructional decision rather than simply documenting past performance. Care is taken conceptually to avoid what critics of analytics-driven education caution against: the reduction of complex learning processes to simplistic metrics divorced from pedagogical context.</w:t>
      </w:r>
    </w:p>
    <w:p>
      <w:pPr>
        <w:spacing w:after="90" w:before="160"/>
      </w:pPr>
      <w:r>
        <w:rPr>
          <w:rFonts w:ascii="Times New Roman" w:cs="Times New Roman" w:eastAsia="Times New Roman" w:hAnsi="Times New Roman"/>
          <w:b/>
          <w:bCs/>
          <w:i/>
          <w:iCs/>
          <w:color w:val="9C7620"/>
          <w:sz w:val="24"/>
          <w:szCs w:val="24"/>
        </w:rPr>
        <w:t xml:space="preserve">5.4 Content Management and Multimedia Delivery</w:t>
      </w:r>
    </w:p>
    <w:p>
      <w:pPr>
        <w:spacing w:after="160" w:line="360"/>
        <w:ind w:firstLine="400"/>
        <w:jc w:val="both"/>
      </w:pPr>
      <w:r>
        <w:rPr>
          <w:rFonts w:ascii="Times New Roman" w:cs="Times New Roman" w:eastAsia="Times New Roman" w:hAnsi="Times New Roman"/>
          <w:color w:val="1A1A1A"/>
          <w:sz w:val="24"/>
          <w:szCs w:val="24"/>
        </w:rPr>
        <w:t xml:space="preserve">The content management component is designed to allow teachers to assemble lessons using a combination of text, images, video, audio, and interactive elements, structured according to principles drawn from Mayer's (2009) cognitive theory of multimedia learning. Design considerations such as coherence (avoiding extraneous material that increases cognitive load), signalling (highlighting essential information), and the pairing of narration with relevant visuals rather than redundant on-screen text are treated as guiding principles for how content authoring tools within the platform are structured, rather than left to individual teacher discretion alone.</w:t>
      </w:r>
    </w:p>
    <w:p>
      <w:pPr>
        <w:spacing w:after="90" w:before="160"/>
      </w:pPr>
      <w:r>
        <w:rPr>
          <w:rFonts w:ascii="Times New Roman" w:cs="Times New Roman" w:eastAsia="Times New Roman" w:hAnsi="Times New Roman"/>
          <w:b/>
          <w:bCs/>
          <w:i/>
          <w:iCs/>
          <w:color w:val="9C7620"/>
          <w:sz w:val="24"/>
          <w:szCs w:val="24"/>
        </w:rPr>
        <w:t xml:space="preserve">5.5 Assessment and Feedback Tools</w:t>
      </w:r>
    </w:p>
    <w:p>
      <w:pPr>
        <w:spacing w:after="160" w:line="360"/>
        <w:ind w:firstLine="400"/>
        <w:jc w:val="both"/>
      </w:pPr>
      <w:r>
        <w:rPr>
          <w:rFonts w:ascii="Times New Roman" w:cs="Times New Roman" w:eastAsia="Times New Roman" w:hAnsi="Times New Roman"/>
          <w:color w:val="1A1A1A"/>
          <w:sz w:val="24"/>
          <w:szCs w:val="24"/>
        </w:rPr>
        <w:t xml:space="preserve">Assessment tools within BridgeYU are designed around the distinction, well established in the literature, between assessment of learning and assessment for learning (Black &amp; Wiliam, 1998). Beyond conventional quizzes and graded assignments, the platform's design conceptually incorporates mechanisms for iterative feedback — allowing teachers to provide comments tied to specific criteria, and allowing students to revise work in response to that feedback before final evaluation. This design orientation treats feedback as a formative, dialogic process central to learning rather than as a terminal judgment appended to a completed task.</w:t>
      </w:r>
    </w:p>
    <w:p>
      <w:pPr>
        <w:spacing w:after="90" w:before="160"/>
      </w:pPr>
      <w:r>
        <w:rPr>
          <w:rFonts w:ascii="Times New Roman" w:cs="Times New Roman" w:eastAsia="Times New Roman" w:hAnsi="Times New Roman"/>
          <w:b/>
          <w:bCs/>
          <w:i/>
          <w:iCs/>
          <w:color w:val="9C7620"/>
          <w:sz w:val="24"/>
          <w:szCs w:val="24"/>
        </w:rPr>
        <w:t xml:space="preserve">5.6 Accessibility and Inclusive Design</w:t>
      </w:r>
    </w:p>
    <w:p>
      <w:pPr>
        <w:spacing w:after="160" w:line="360"/>
        <w:ind w:firstLine="400"/>
        <w:jc w:val="both"/>
      </w:pPr>
      <w:r>
        <w:rPr>
          <w:rFonts w:ascii="Times New Roman" w:cs="Times New Roman" w:eastAsia="Times New Roman" w:hAnsi="Times New Roman"/>
          <w:color w:val="1A1A1A"/>
          <w:sz w:val="24"/>
          <w:szCs w:val="24"/>
        </w:rPr>
        <w:t xml:space="preserve">Accessibility considerations are conceived as integral to BridgeYU's design rather than as a retrofit. Following the UDL framework's three core principles — multiple means of representation, action and expression, and engagement (CAST, 2018) — the platform's accessibility layer is designed to support features such as adjustable text presentation, captioned or transcribed multimedia, and multiple formats for demonstrating understanding. In the Indian context, accessibility is also understood to encompass linguistic accessibility: the platform's localisation capacity is intended to support regional language interfaces and content, recognising the linguistic diversity that UNESCO (2023) identifies as a critical equity consideration in ICT-enabled education.</w:t>
      </w:r>
    </w:p>
    <w:p>
      <w:pPr>
        <w:spacing w:after="120" w:before="260"/>
      </w:pPr>
      <w:r>
        <w:rPr>
          <w:rFonts w:ascii="Times New Roman" w:cs="Times New Roman" w:eastAsia="Times New Roman" w:hAnsi="Times New Roman"/>
          <w:b/>
          <w:bCs/>
          <w:color w:val="0D1B3E"/>
          <w:sz w:val="26"/>
          <w:szCs w:val="26"/>
        </w:rPr>
        <w:t xml:space="preserve">6. Discussion — Potential Impact on Schools and Colleges</w:t>
      </w:r>
    </w:p>
    <w:p>
      <w:pPr>
        <w:spacing w:after="160" w:line="360"/>
        <w:ind w:firstLine="400"/>
        <w:jc w:val="both"/>
      </w:pPr>
      <w:r>
        <w:rPr>
          <w:rFonts w:ascii="Times New Roman" w:cs="Times New Roman" w:eastAsia="Times New Roman" w:hAnsi="Times New Roman"/>
          <w:color w:val="1A1A1A"/>
          <w:sz w:val="24"/>
          <w:szCs w:val="24"/>
        </w:rPr>
        <w:t xml:space="preserve">Considered together, the architecture and features described above suggest several plausible avenues through which a platform such as BridgeYU could influence teaching and learning practice in Indian schools and colleges, while it is important to note that these remain conceptual possibilities contingent on implementation quality rather than guaranteed outcomes. At the classroom level, the availability of formative assessment tools and analytics dashboards could, in principle, support teachers in identifying learning gaps earlier in an instructional cycle than traditional periodic testing allows, consistent with Black and Wiliam's (1998) argument that timely feedback loops improve learning outcomes when acted upon. However, this potential is realised only if teachers are equipped and given time to interpret and act on the data presented — underscoring why the teacher upskilling layer is positioned as central to the platform's design rather than peripheral to it.</w:t>
      </w:r>
    </w:p>
    <w:p>
      <w:pPr>
        <w:spacing w:after="160" w:line="360"/>
        <w:ind w:firstLine="400"/>
        <w:jc w:val="both"/>
      </w:pPr>
      <w:r>
        <w:rPr>
          <w:rFonts w:ascii="Times New Roman" w:cs="Times New Roman" w:eastAsia="Times New Roman" w:hAnsi="Times New Roman"/>
          <w:color w:val="1A1A1A"/>
          <w:sz w:val="24"/>
          <w:szCs w:val="24"/>
        </w:rPr>
        <w:t xml:space="preserve">At the institutional level, a unified system spanning administration, content, and assessment could reduce the fragmentation that often arises when schools and colleges rely on disparate, unconnected tools for these functions, potentially freeing administrative time that might otherwise be redirected toward pedagogical support. For colleges in particular, blended delivery models supported by an LMS align with Garrison and Vaughan's (2008) community of inquiry framework, suggesting that thoughtfully designed blended courses can sustain social and cognitive engagement alongside flexibility of access — a consideration relevant to institutions serving commuting or working students.</w:t>
      </w:r>
    </w:p>
    <w:p>
      <w:pPr>
        <w:spacing w:after="160" w:line="360"/>
        <w:ind w:firstLine="400"/>
        <w:jc w:val="both"/>
      </w:pPr>
      <w:r>
        <w:rPr>
          <w:rFonts w:ascii="Times New Roman" w:cs="Times New Roman" w:eastAsia="Times New Roman" w:hAnsi="Times New Roman"/>
          <w:color w:val="1A1A1A"/>
          <w:sz w:val="24"/>
          <w:szCs w:val="24"/>
        </w:rPr>
        <w:t xml:space="preserve">At a systemic level, platforms of this kind may contribute, in a modest and incremental way, to the broader ambitions articulated in NEP 2020 regarding technology-enabled equitable access to quality education (Ministry of Human Resource Development, 2020) and to the longer-horizon vision of Vikshit Bharat@2047, which implicitly requires an education system capable of preparing learners with digital fluency and adaptive skills for a changing economy. It should be emphasised, however, that such systemic contribution is neither automatic nor guaranteed by the mere presence of technology; it depends on the quality of pedagogical design embedded in the platform, the depth of teacher engagement with it, and the institutional will to sustain its use beyond initial adoption — a caution consistent with Fullan's (2007) broader thesis on the fragility of educational reform absent sustained capacity-building.</w:t>
      </w:r>
    </w:p>
    <w:p>
      <w:pPr>
        <w:spacing w:after="120" w:before="260"/>
      </w:pPr>
      <w:r>
        <w:rPr>
          <w:rFonts w:ascii="Times New Roman" w:cs="Times New Roman" w:eastAsia="Times New Roman" w:hAnsi="Times New Roman"/>
          <w:b/>
          <w:bCs/>
          <w:color w:val="0D1B3E"/>
          <w:sz w:val="26"/>
          <w:szCs w:val="26"/>
        </w:rPr>
        <w:t xml:space="preserve">7. Challenges and Limitations of LMS Adoption in the Indian Context</w:t>
      </w:r>
    </w:p>
    <w:p>
      <w:pPr>
        <w:spacing w:after="160" w:line="360"/>
        <w:ind w:firstLine="400"/>
        <w:jc w:val="both"/>
      </w:pPr>
      <w:r>
        <w:rPr>
          <w:rFonts w:ascii="Times New Roman" w:cs="Times New Roman" w:eastAsia="Times New Roman" w:hAnsi="Times New Roman"/>
          <w:color w:val="1A1A1A"/>
          <w:sz w:val="24"/>
          <w:szCs w:val="24"/>
        </w:rPr>
        <w:t xml:space="preserve">Any honest discussion of LMS platforms intended for the Indian education sector must contend with structural realities that shape, and often constrain, their adoption. Infrastructural disparity remains a foundational challenge: reliable internet connectivity, adequate devices, and consistent electricity supply are not uniformly available across urban, semi-urban, and rural institutions, and UNESCO (2023) has repeatedly cautioned that ICT-in-education initiatives risk widening rather than narrowing equity gaps when infrastructural readiness is assumed rather than verified. A platform's architecture, however well designed pedagogically, cannot compensate for the absence of the basic infrastructure required to access it.</w:t>
      </w:r>
    </w:p>
    <w:p>
      <w:pPr>
        <w:spacing w:after="160" w:line="360"/>
        <w:ind w:firstLine="400"/>
        <w:jc w:val="both"/>
      </w:pPr>
      <w:r>
        <w:rPr>
          <w:rFonts w:ascii="Times New Roman" w:cs="Times New Roman" w:eastAsia="Times New Roman" w:hAnsi="Times New Roman"/>
          <w:color w:val="1A1A1A"/>
          <w:sz w:val="24"/>
          <w:szCs w:val="24"/>
        </w:rPr>
        <w:t xml:space="preserve">A second challenge concerns digital literacy and readiness, both among teachers and students. Even where infrastructure exists, comfort with navigating a digital platform, interpreting analytics dashboards, or authoring multimedia content varies considerably, and Darling-Hammond et al. (2017) note that skill development of this kind requires sustained, supported practice rather than brief exposure. Teacher upskilling modules embedded within an LMS can partially address this, but only if institutions allocate the time and organisational support necessary for teachers to engage with them meaningfully — a resource constraint that many schools, particularly under-resourced ones, may struggle to provide.</w:t>
      </w:r>
    </w:p>
    <w:p>
      <w:pPr>
        <w:spacing w:after="160" w:line="360"/>
        <w:ind w:firstLine="400"/>
        <w:jc w:val="both"/>
      </w:pPr>
      <w:r>
        <w:rPr>
          <w:rFonts w:ascii="Times New Roman" w:cs="Times New Roman" w:eastAsia="Times New Roman" w:hAnsi="Times New Roman"/>
          <w:color w:val="1A1A1A"/>
          <w:sz w:val="24"/>
          <w:szCs w:val="24"/>
        </w:rPr>
        <w:t xml:space="preserve">A third challenge relates to change management and institutional culture. Fullan (2007) observes that resistance to educational innovation often stems not from opposition to the innovation's substance but from inadequate attention to how change is introduced, communicated, and supported. The introduction of an LMS represents a shift in established routines for lesson planning, record-keeping, and communication with students and guardians, and institutions that treat this as a purely technical rollout — rather than as a change process requiring leadership, communication, and phased implementation — are likely to encounter friction regardless of the platform's design quality.</w:t>
      </w:r>
    </w:p>
    <w:p>
      <w:pPr>
        <w:spacing w:after="160" w:line="360"/>
        <w:ind w:firstLine="400"/>
        <w:jc w:val="both"/>
      </w:pPr>
      <w:r>
        <w:rPr>
          <w:rFonts w:ascii="Times New Roman" w:cs="Times New Roman" w:eastAsia="Times New Roman" w:hAnsi="Times New Roman"/>
          <w:color w:val="1A1A1A"/>
          <w:sz w:val="24"/>
          <w:szCs w:val="24"/>
        </w:rPr>
        <w:t xml:space="preserve">A fourth challenge concerns linguistic and content localisation. India's multilingual educational landscape means that a platform designed primarily around English-medium content risks limited relevance for a significant proportion of schools operating in regional languages. While BridgeYU's accessibility and localisation layer is conceptually designed to address this, the practical work of developing and maintaining high-quality localised content at scale remains a genuine and ongoing challenge for any LMS provider operating in this context, rather than one resolved simply by including a language-selection feature.</w:t>
      </w:r>
    </w:p>
    <w:p>
      <w:pPr>
        <w:spacing w:after="160" w:line="360"/>
        <w:ind w:firstLine="400"/>
        <w:jc w:val="both"/>
      </w:pPr>
      <w:r>
        <w:rPr>
          <w:rFonts w:ascii="Times New Roman" w:cs="Times New Roman" w:eastAsia="Times New Roman" w:hAnsi="Times New Roman"/>
          <w:color w:val="1A1A1A"/>
          <w:sz w:val="24"/>
          <w:szCs w:val="24"/>
        </w:rPr>
        <w:t xml:space="preserve">Finally, questions of data privacy and governance warrant attention. As LMS platforms collect data on student performance, engagement, and behaviour, institutions and providers alike bear responsibility for ensuring that such data is handled with appropriate safeguards, transparency, and consent mechanisms, particularly given the sensitivity of data pertaining to minors. This is an area in which policy frameworks in India continue to evolve, and platform providers must remain attentive to emerging regulatory requirements rather than treating data governance as a static, one-time compliance exercise.</w:t>
      </w:r>
    </w:p>
    <w:p>
      <w:pPr>
        <w:spacing w:after="120" w:before="260"/>
      </w:pPr>
      <w:r>
        <w:rPr>
          <w:rFonts w:ascii="Times New Roman" w:cs="Times New Roman" w:eastAsia="Times New Roman" w:hAnsi="Times New Roman"/>
          <w:b/>
          <w:bCs/>
          <w:color w:val="0D1B3E"/>
          <w:sz w:val="26"/>
          <w:szCs w:val="26"/>
        </w:rPr>
        <w:t xml:space="preserve">8. Conclusion and Future Directions</w:t>
      </w:r>
    </w:p>
    <w:p>
      <w:pPr>
        <w:spacing w:after="160" w:line="360"/>
        <w:ind w:firstLine="400"/>
        <w:jc w:val="both"/>
      </w:pPr>
      <w:r>
        <w:rPr>
          <w:rFonts w:ascii="Times New Roman" w:cs="Times New Roman" w:eastAsia="Times New Roman" w:hAnsi="Times New Roman"/>
          <w:color w:val="1A1A1A"/>
          <w:sz w:val="24"/>
          <w:szCs w:val="24"/>
        </w:rPr>
        <w:t xml:space="preserve">This paper has offered a conceptual account of BridgeYU as an LMS designed to support schools and colleges navigating the demands of twenty-first-century education, situating its architecture and features within established frameworks of digital pedagogy, formative assessment, differentiated and universal design, multimedia learning, and teacher professional development. The central argument advanced here is that the value of an LMS lies not in its technical feature set alone but in the extent to which that feature set is grounded in sound pedagogical reasoning and implemented with attention to the structural realities of the context in which it is deployed. In the Indian setting, this means that platforms of this kind must be designed and evaluated with explicit attention to infrastructural variability, teacher capacity-building, linguistic diversity, and responsible data governance, rather than assuming that technological availability alone translates into pedagogical improvement.</w:t>
      </w:r>
    </w:p>
    <w:p>
      <w:pPr>
        <w:spacing w:after="160" w:line="360"/>
        <w:ind w:firstLine="400"/>
        <w:jc w:val="both"/>
      </w:pPr>
      <w:r>
        <w:rPr>
          <w:rFonts w:ascii="Times New Roman" w:cs="Times New Roman" w:eastAsia="Times New Roman" w:hAnsi="Times New Roman"/>
          <w:color w:val="1A1A1A"/>
          <w:sz w:val="24"/>
          <w:szCs w:val="24"/>
        </w:rPr>
        <w:t xml:space="preserve">Looking ahead, several directions seem warranted for the continued development of platforms such as BridgeYU and for the broader field of ed-tech in Indian education. First, sustained collaboration between ed-tech developers and teacher-education institutions — of the kind represented by this seminar itself — could help ensure that platform design remains anchored in classroom realities and pedagogical evidence rather than technological novelty alone. Second, future iterations of teacher upskilling modules might benefit from closer alignment with NEP 2020's continuous professional development framework, potentially including pathways for certification or recognition that integrate with existing teacher development structures. Third, as with any educational technology, rigorous and independent evaluation of actual classroom outcomes — rather than platform-reported usage metrics alone — should be pursued as adoption matures, so that claims about impact rest on verifiable evidence rather than assumption. Finally, continued attention to equity — ensuring that platforms designed for well-resourced institutions do not inadvertently widen the gap with under-resourced ones — will remain essential if digital learning platforms are to meaningfully contribute to the inclusive and equitable vision of education articulated in both NEP 2020 and the longer-term aspirations of Vikshit Bharat@2047. It is in this spirit of grounded, evidence-oriented, and equity-conscious design that BridgeYU is offered for discussion at this seminar, as one contribution among many toward reimagining teacher training and classroom practice for the decades ahead.</w:t>
      </w:r>
    </w:p>
    <w:p>
      <w:pPr>
        <w:pBdr>
          <w:bottom w:val="single" w:color="C8972A" w:sz="6" w:space="4"/>
        </w:pBdr>
        <w:spacing w:after="140" w:before="260"/>
      </w:pPr>
      <w:r>
        <w:rPr>
          <w:rFonts w:ascii="Times New Roman" w:cs="Times New Roman" w:eastAsia="Times New Roman" w:hAnsi="Times New Roman"/>
          <w:b/>
          <w:bCs/>
          <w:color w:val="0D1B3E"/>
          <w:sz w:val="26"/>
          <w:szCs w:val="26"/>
        </w:rPr>
        <w:t xml:space="preserve">References</w:t>
      </w:r>
    </w:p>
    <w:p>
      <w:pPr>
        <w:spacing w:after="130" w:line="280"/>
        <w:ind w:left="480" w:hanging="480"/>
        <w:jc w:val="left"/>
      </w:pPr>
      <w:r>
        <w:rPr>
          <w:rFonts w:ascii="Times New Roman" w:cs="Times New Roman" w:eastAsia="Times New Roman" w:hAnsi="Times New Roman"/>
          <w:color w:val="1A1A1A"/>
          <w:sz w:val="22"/>
          <w:szCs w:val="22"/>
        </w:rPr>
        <w:t xml:space="preserve">Bates, A. W. (2019). Teaching in a digital age: Guidelines for designing teaching and learning (2nd ed.). Tony Bates Associates.</w:t>
      </w:r>
    </w:p>
    <w:p>
      <w:pPr>
        <w:spacing w:after="130" w:line="280"/>
        <w:ind w:left="480" w:hanging="480"/>
        <w:jc w:val="left"/>
      </w:pPr>
      <w:r>
        <w:rPr>
          <w:rFonts w:ascii="Times New Roman" w:cs="Times New Roman" w:eastAsia="Times New Roman" w:hAnsi="Times New Roman"/>
          <w:color w:val="1A1A1A"/>
          <w:sz w:val="22"/>
          <w:szCs w:val="22"/>
        </w:rPr>
        <w:t xml:space="preserve">Black, P., &amp; Wiliam, D. (1998). Assessment and classroom learning. Assessment in Education: Principles, Policy &amp; Practice, 5(1), 7–74.</w:t>
      </w:r>
    </w:p>
    <w:p>
      <w:pPr>
        <w:spacing w:after="130" w:line="280"/>
        <w:ind w:left="480" w:hanging="480"/>
        <w:jc w:val="left"/>
      </w:pPr>
      <w:r>
        <w:rPr>
          <w:rFonts w:ascii="Times New Roman" w:cs="Times New Roman" w:eastAsia="Times New Roman" w:hAnsi="Times New Roman"/>
          <w:color w:val="1A1A1A"/>
          <w:sz w:val="22"/>
          <w:szCs w:val="22"/>
        </w:rPr>
        <w:t xml:space="preserve">CAST. (2018). Universal design for learning guidelines version 2.2. CAST.</w:t>
      </w:r>
    </w:p>
    <w:p>
      <w:pPr>
        <w:spacing w:after="130" w:line="280"/>
        <w:ind w:left="480" w:hanging="480"/>
        <w:jc w:val="left"/>
      </w:pPr>
      <w:r>
        <w:rPr>
          <w:rFonts w:ascii="Times New Roman" w:cs="Times New Roman" w:eastAsia="Times New Roman" w:hAnsi="Times New Roman"/>
          <w:color w:val="1A1A1A"/>
          <w:sz w:val="22"/>
          <w:szCs w:val="22"/>
        </w:rPr>
        <w:t xml:space="preserve">Darling-Hammond, L., Hyler, M. E., &amp; Gardner, M. (2017). Effective teacher professional development. Learning Policy Institute.</w:t>
      </w:r>
    </w:p>
    <w:p>
      <w:pPr>
        <w:spacing w:after="130" w:line="280"/>
        <w:ind w:left="480" w:hanging="480"/>
        <w:jc w:val="left"/>
      </w:pPr>
      <w:r>
        <w:rPr>
          <w:rFonts w:ascii="Times New Roman" w:cs="Times New Roman" w:eastAsia="Times New Roman" w:hAnsi="Times New Roman"/>
          <w:color w:val="1A1A1A"/>
          <w:sz w:val="22"/>
          <w:szCs w:val="22"/>
        </w:rPr>
        <w:t xml:space="preserve">Fullan, M. (2007). The new meaning of educational change (4th ed.). Teachers College Press.</w:t>
      </w:r>
    </w:p>
    <w:p>
      <w:pPr>
        <w:spacing w:after="130" w:line="280"/>
        <w:ind w:left="480" w:hanging="480"/>
        <w:jc w:val="left"/>
      </w:pPr>
      <w:r>
        <w:rPr>
          <w:rFonts w:ascii="Times New Roman" w:cs="Times New Roman" w:eastAsia="Times New Roman" w:hAnsi="Times New Roman"/>
          <w:color w:val="1A1A1A"/>
          <w:sz w:val="22"/>
          <w:szCs w:val="22"/>
        </w:rPr>
        <w:t xml:space="preserve">Garrison, D. R., &amp; Vaughan, N. D. (2008). Blended learning in higher education: Framework, principles, and guidelines. Jossey-Bass.</w:t>
      </w:r>
    </w:p>
    <w:p>
      <w:pPr>
        <w:spacing w:after="130" w:line="280"/>
        <w:ind w:left="480" w:hanging="480"/>
        <w:jc w:val="left"/>
      </w:pPr>
      <w:r>
        <w:rPr>
          <w:rFonts w:ascii="Times New Roman" w:cs="Times New Roman" w:eastAsia="Times New Roman" w:hAnsi="Times New Roman"/>
          <w:color w:val="1A1A1A"/>
          <w:sz w:val="22"/>
          <w:szCs w:val="22"/>
        </w:rPr>
        <w:t xml:space="preserve">Mayer, R. E. (2009). Multimedia learning (2nd ed.). Cambridge University Press.</w:t>
      </w:r>
    </w:p>
    <w:p>
      <w:pPr>
        <w:spacing w:after="130" w:line="280"/>
        <w:ind w:left="480" w:hanging="480"/>
        <w:jc w:val="left"/>
      </w:pPr>
      <w:r>
        <w:rPr>
          <w:rFonts w:ascii="Times New Roman" w:cs="Times New Roman" w:eastAsia="Times New Roman" w:hAnsi="Times New Roman"/>
          <w:color w:val="1A1A1A"/>
          <w:sz w:val="22"/>
          <w:szCs w:val="22"/>
        </w:rPr>
        <w:t xml:space="preserve">Ministry of Human Resource Development. (2020). National Education Policy 2020. Government of India.</w:t>
      </w:r>
    </w:p>
    <w:p>
      <w:pPr>
        <w:spacing w:after="130" w:line="280"/>
        <w:ind w:left="480" w:hanging="480"/>
        <w:jc w:val="left"/>
      </w:pPr>
      <w:r>
        <w:rPr>
          <w:rFonts w:ascii="Times New Roman" w:cs="Times New Roman" w:eastAsia="Times New Roman" w:hAnsi="Times New Roman"/>
          <w:color w:val="1A1A1A"/>
          <w:sz w:val="22"/>
          <w:szCs w:val="22"/>
        </w:rPr>
        <w:t xml:space="preserve">Mishra, P., &amp; Koehler, M. J. (2006). Technological pedagogical content knowledge: A framework for teacher knowledge. Teachers College Record, 108(6), 1017–1054.</w:t>
      </w:r>
    </w:p>
    <w:p>
      <w:pPr>
        <w:spacing w:after="130" w:line="280"/>
        <w:ind w:left="480" w:hanging="480"/>
        <w:jc w:val="left"/>
      </w:pPr>
      <w:r>
        <w:rPr>
          <w:rFonts w:ascii="Times New Roman" w:cs="Times New Roman" w:eastAsia="Times New Roman" w:hAnsi="Times New Roman"/>
          <w:color w:val="1A1A1A"/>
          <w:sz w:val="22"/>
          <w:szCs w:val="22"/>
        </w:rPr>
        <w:t xml:space="preserve">Siemens, G. (2005). Connectivism: A learning theory for the digital age. International Journal of Instructional Technology and Distance Learning, 2(1), 3–10.</w:t>
      </w:r>
    </w:p>
    <w:p>
      <w:pPr>
        <w:spacing w:after="130" w:line="280"/>
        <w:ind w:left="480" w:hanging="480"/>
        <w:jc w:val="left"/>
      </w:pPr>
      <w:r>
        <w:rPr>
          <w:rFonts w:ascii="Times New Roman" w:cs="Times New Roman" w:eastAsia="Times New Roman" w:hAnsi="Times New Roman"/>
          <w:color w:val="1A1A1A"/>
          <w:sz w:val="22"/>
          <w:szCs w:val="22"/>
        </w:rPr>
        <w:t xml:space="preserve">Siemens, G. (2013). Learning analytics: The emergence of a discipline. American Behavioral Scientist, 57(10), 1380–1400.</w:t>
      </w:r>
    </w:p>
    <w:p>
      <w:pPr>
        <w:spacing w:after="130" w:line="280"/>
        <w:ind w:left="480" w:hanging="480"/>
        <w:jc w:val="left"/>
      </w:pPr>
      <w:r>
        <w:rPr>
          <w:rFonts w:ascii="Times New Roman" w:cs="Times New Roman" w:eastAsia="Times New Roman" w:hAnsi="Times New Roman"/>
          <w:color w:val="1A1A1A"/>
          <w:sz w:val="22"/>
          <w:szCs w:val="22"/>
        </w:rPr>
        <w:t xml:space="preserve">Tomlinson, C. A. (2001). How to differentiate instruction in mixed-ability classrooms (2nd ed.). Association for Supervision and Curriculum Development.</w:t>
      </w:r>
    </w:p>
    <w:p>
      <w:pPr>
        <w:spacing w:after="130" w:line="280"/>
        <w:ind w:left="480" w:hanging="480"/>
        <w:jc w:val="left"/>
      </w:pPr>
      <w:r>
        <w:rPr>
          <w:rFonts w:ascii="Times New Roman" w:cs="Times New Roman" w:eastAsia="Times New Roman" w:hAnsi="Times New Roman"/>
          <w:color w:val="1A1A1A"/>
          <w:sz w:val="22"/>
          <w:szCs w:val="22"/>
        </w:rPr>
        <w:t xml:space="preserve">UNESCO. (2023). Technology in education: A tool on whose terms? Global Education Monitoring Report. UNESCO Publishing.</w:t>
      </w:r>
    </w:p>
    <w:sectPr>
      <w:headerReference w:type="default" r:id="rId7"/>
      <w:footerReference w:type="default" r:id="rId8"/>
      <w:pgSz w:w="11906" w:h="16838" w:orient="portrait"/>
      <w:pgMar w:top="1440" w:right="1440" w:bottom="1440" w:left="1440"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0"/>
      <w:jc w:val="center"/>
    </w:pPr>
    <w:r>
      <w:rPr>
        <w:rFonts w:ascii="Times New Roman" w:cs="Times New Roman" w:eastAsia="Times New Roman" w:hAnsi="Times New Roman"/>
        <w:i/>
        <w:iCs/>
        <w:color w:val="555555"/>
        <w:sz w:val="14"/>
        <w:szCs w:val="14"/>
      </w:rPr>
      <w:t xml:space="preserve">Reimagining Teacher Training: Preparing Educators for 21st-Century Classrooms and Vikshit Bharat@2047</w:t>
    </w:r>
  </w:p>
  <w:p>
    <w:pPr>
      <w:jc w:val="center"/>
    </w:pPr>
    <w:r>
      <w:rPr>
        <w:rFonts w:ascii="Times New Roman" w:cs="Times New Roman" w:eastAsia="Times New Roman" w:hAnsi="Times New Roman"/>
        <w:color w:val="555555"/>
        <w:sz w:val="15"/>
        <w:szCs w:val="15"/>
      </w:rPr>
      <w:t xml:space="preserve">Page </w:t>
    </w:r>
    <w:r>
      <w:rPr>
        <w:rFonts w:ascii="Times New Roman" w:cs="Times New Roman" w:eastAsia="Times New Roman" w:hAnsi="Times New Roman"/>
        <w:color w:val="555555"/>
        <w:sz w:val="15"/>
        <w:szCs w:val="15"/>
      </w:rPr>
      <w:fldChar w:fldCharType="begin"/>
      <w:instrText xml:space="preserve">PAGE</w:instrText>
      <w:fldChar w:fldCharType="separate"/>
      <w:fldChar w:fldCharType="end"/>
    </w:r>
    <w:r>
      <w:rPr>
        <w:rFonts w:ascii="Times New Roman" w:cs="Times New Roman" w:eastAsia="Times New Roman" w:hAnsi="Times New Roman"/>
        <w:color w:val="555555"/>
        <w:sz w:val="15"/>
        <w:szCs w:val="15"/>
      </w:rPr>
      <w:t xml:space="preserve"> of </w:t>
    </w:r>
    <w:r>
      <w:rPr>
        <w:rFonts w:ascii="Times New Roman" w:cs="Times New Roman" w:eastAsia="Times New Roman" w:hAnsi="Times New Roman"/>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spacing w:after="40"/>
      <w:jc w:val="center"/>
    </w:pPr>
    <w:r>
      <w:rPr>
        <w:rFonts w:ascii="Times New Roman" w:cs="Times New Roman" w:eastAsia="Times New Roman" w:hAnsi="Times New Roman"/>
        <w:color w:val="555555"/>
        <w:sz w:val="15"/>
        <w:szCs w:val="15"/>
      </w:rPr>
      <w:t xml:space="preserve">Baikuntha College of Education  ·  International Seminar 2026  ·  Full Paper  ·  28 August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2026-08-26T17:10:16.174Z</dcterms:created>
  <dcterms:modified xsi:type="dcterms:W3CDTF">2026-08-26T17:10:16.174Z</dcterms:modified>
</cp:coreProperties>
</file>

<file path=docProps/custom.xml><?xml version="1.0" encoding="utf-8"?>
<Properties xmlns="http://schemas.openxmlformats.org/officeDocument/2006/custom-properties" xmlns:vt="http://schemas.openxmlformats.org/officeDocument/2006/docPropsVTypes"/>
</file>