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color w:val="0D1B3E"/>
          <w:sz w:val="32"/>
          <w:szCs w:val="32"/>
        </w:rPr>
        <w:t xml:space="preserve">Application of ISO 9001:2015 Principles in Higher Education Institutions: A Framework for Quality Assurance and Continuous Improvement</w:t>
      </w:r>
    </w:p>
    <w:p>
      <w:pPr>
        <w:spacing w:after="40"/>
        <w:jc w:val="center"/>
      </w:pPr>
      <w:r>
        <w:rPr>
          <w:rFonts w:ascii="Times New Roman" w:cs="Times New Roman" w:eastAsia="Times New Roman" w:hAnsi="Times New Roman"/>
          <w:b/>
          <w:bCs/>
          <w:color w:val="1A1A1A"/>
          <w:sz w:val="26"/>
          <w:szCs w:val="26"/>
        </w:rPr>
        <w:t xml:space="preserve">Dr. Saurav Kar</w:t>
      </w:r>
    </w:p>
    <w:p>
      <w:pPr>
        <w:spacing w:after="260"/>
        <w:jc w:val="center"/>
      </w:pPr>
      <w:r>
        <w:rPr>
          <w:rFonts w:ascii="Times New Roman" w:cs="Times New Roman" w:eastAsia="Times New Roman" w:hAnsi="Times New Roman"/>
          <w:i/>
          <w:iCs/>
          <w:color w:val="555555"/>
          <w:sz w:val="22"/>
          <w:szCs w:val="22"/>
        </w:rPr>
        <w:t xml:space="preserve">Department of Management, Kalinga University</w:t>
      </w:r>
    </w:p>
    <w:p>
      <w:pPr>
        <w:spacing w:after="80" w:before="100"/>
      </w:pPr>
      <w:r>
        <w:rPr>
          <w:rFonts w:ascii="Times New Roman" w:cs="Times New Roman" w:eastAsia="Times New Roman" w:hAnsi="Times New Roman"/>
          <w:b/>
          <w:bCs/>
          <w:color w:val="0D1B3E"/>
          <w:sz w:val="24"/>
          <w:szCs w:val="24"/>
        </w:rPr>
        <w:t xml:space="preserve">Abstract</w:t>
      </w:r>
    </w:p>
    <w:p>
      <w:pPr>
        <w:spacing w:after="160" w:line="300"/>
        <w:ind w:left="260" w:right="260"/>
        <w:jc w:val="both"/>
      </w:pPr>
      <w:r>
        <w:rPr>
          <w:rFonts w:ascii="Times New Roman" w:cs="Times New Roman" w:eastAsia="Times New Roman" w:hAnsi="Times New Roman"/>
          <w:i/>
          <w:iCs/>
          <w:color w:val="1A1A1A"/>
          <w:sz w:val="22"/>
          <w:szCs w:val="22"/>
        </w:rPr>
        <w:t xml:space="preserve">Higher education institutions (HEIs) worldwide are under mounting pressure to demonstrate measurable quality, accountability, and continuous improvement to diverse stakeholders. While quality assurance in Indian higher education has largely been driven by regulatory frameworks such as the National Assessment and Accreditation Council (NAAC) and University Grants Commission (UGC) norms, the seven quality management principles embedded in ISO 9001:2015 offer a complementary, process-oriented lens through which institutional quality can be systematised. This paper examines the applicability of ISO 9001:2015 principles—customer focus, leadership, engagement of people, process approach, improvement, evidence-based decision making, and relationship management—to the higher education context. Drawing on established quality management and educational quality literature, the paper proposes a seven-part conceptual framework mapping each principle to specific institutional practices, spanning stakeholder orientation, governance, faculty engagement, process mapping, PDCA-based curriculum improvement, data-driven planning, and partnership management. The discussion identifies benefits, implementation challenges, and structural barriers specific to Indian HEIs, followed by practical recommendations. The paper concludes that ISO 9001:2015, when adapted thoughtfully alongside existing accreditation mechanisms, can strengthen institutional quality culture in ways aligned with the aspirations of Vikshit Bharat@2047.</w:t>
      </w:r>
    </w:p>
    <w:p>
      <w:pPr>
        <w:spacing w:after="220" w:line="300"/>
      </w:pPr>
      <w:r>
        <w:rPr>
          <w:rFonts w:ascii="Times New Roman" w:cs="Times New Roman" w:eastAsia="Times New Roman" w:hAnsi="Times New Roman"/>
          <w:b/>
          <w:bCs/>
          <w:i/>
          <w:iCs/>
          <w:color w:val="1A1A1A"/>
          <w:sz w:val="22"/>
          <w:szCs w:val="22"/>
        </w:rPr>
        <w:t xml:space="preserve">Keywords: </w:t>
      </w:r>
      <w:r>
        <w:rPr>
          <w:rFonts w:ascii="Times New Roman" w:cs="Times New Roman" w:eastAsia="Times New Roman" w:hAnsi="Times New Roman"/>
          <w:i/>
          <w:iCs/>
          <w:color w:val="1A1A1A"/>
          <w:sz w:val="22"/>
          <w:szCs w:val="22"/>
        </w:rPr>
        <w:t xml:space="preserve">ISO 9001:2015, quality assurance, higher education institutions, continuous improvement, PDCA cycle, NAAC accreditation</w:t>
      </w:r>
    </w:p>
    <w:p>
      <w:pPr>
        <w:spacing w:after="120" w:before="260"/>
      </w:pPr>
      <w:r>
        <w:rPr>
          <w:rFonts w:ascii="Times New Roman" w:cs="Times New Roman" w:eastAsia="Times New Roman" w:hAnsi="Times New Roman"/>
          <w:b/>
          <w:bCs/>
          <w:color w:val="0D1B3E"/>
          <w:sz w:val="26"/>
          <w:szCs w:val="26"/>
        </w:rPr>
        <w:t xml:space="preserve">1. Introduction</w:t>
      </w:r>
    </w:p>
    <w:p>
      <w:pPr>
        <w:spacing w:after="160" w:line="360"/>
        <w:ind w:firstLine="400"/>
        <w:jc w:val="both"/>
      </w:pPr>
      <w:r>
        <w:rPr>
          <w:rFonts w:ascii="Times New Roman" w:cs="Times New Roman" w:eastAsia="Times New Roman" w:hAnsi="Times New Roman"/>
          <w:color w:val="1A1A1A"/>
          <w:sz w:val="24"/>
          <w:szCs w:val="24"/>
        </w:rPr>
        <w:t xml:space="preserve">The global higher education landscape has undergone a fundamental shift over the past three decades, moving from an era of relatively unregulated academic autonomy toward one characterised by accountability, benchmarking, and demonstrable quality outcomes. Institutions are increasingly expected to satisfy multiple, sometimes competing, stakeholder expectations: students seeking employable skills and meaningful learning experiences, parents and funders seeking value for investment, industry seeking job-ready graduates, regulatory bodies seeking compliance with minimum standards, and society at large seeking research and innovation that serves national development. In India, this accountability imperative has been formalised through mechanisms such as NAAC accreditation and UGC quality assurance guidelines, both of which have substantially professionalised institutional self-assessment over the last two decades (National Assessment and Accreditation Council, 2019; University Grants Commission, 2015).</w:t>
      </w:r>
    </w:p>
    <w:p>
      <w:pPr>
        <w:spacing w:after="160" w:line="360"/>
        <w:ind w:firstLine="400"/>
        <w:jc w:val="both"/>
      </w:pPr>
      <w:r>
        <w:rPr>
          <w:rFonts w:ascii="Times New Roman" w:cs="Times New Roman" w:eastAsia="Times New Roman" w:hAnsi="Times New Roman"/>
          <w:color w:val="1A1A1A"/>
          <w:sz w:val="24"/>
          <w:szCs w:val="24"/>
        </w:rPr>
        <w:t xml:space="preserve">Yet accreditation frameworks, valuable as they are, tend to operate on a cyclical, largely retrospective basis, generating periodic assessments rather than embedding quality as a continuous, everyday institutional practice. This is precisely the gap that quality management systems (QMS) originating in industrial and service sectors are well positioned to address. ISO 9001:2015, the internationally recognised standard for quality management systems, is built upon seven core principles that were explicitly designed to be sector-agnostic: customer focus, leadership, engagement of people, process approach, improvement, evidence-based decision making, and relationship management (International Organization for Standardization [ISO], 2015). Although ISO 9001:2015 was conceived primarily for manufacturing and service organisations, its underlying logic—that quality is the outcome of well-managed, continuously improved processes rather than of inspection alone—translates readily to the operational and academic processes of a university or college.</w:t>
      </w:r>
    </w:p>
    <w:p>
      <w:pPr>
        <w:spacing w:after="160" w:line="360"/>
        <w:ind w:firstLine="400"/>
        <w:jc w:val="both"/>
      </w:pPr>
      <w:r>
        <w:rPr>
          <w:rFonts w:ascii="Times New Roman" w:cs="Times New Roman" w:eastAsia="Times New Roman" w:hAnsi="Times New Roman"/>
          <w:color w:val="1A1A1A"/>
          <w:sz w:val="24"/>
          <w:szCs w:val="24"/>
        </w:rPr>
        <w:t xml:space="preserve">The application of ISO 9001 principles to education is not a novel proposition; a body of literature spanning total quality management (TQM) in schools and universities has explored this terrain since the 1990s (Sallis, 2002). What remains comparatively underdeveloped, particularly in the Indian context, is a structured framework that explicitly maps each of the seven ISO 9001:2015 principles onto concrete institutional practices within HEIs, while situating this mapping alongside the NAAC and UGC quality assurance apparatus that already governs Indian higher education. This paper attempts to fill that gap.</w:t>
      </w:r>
    </w:p>
    <w:p>
      <w:pPr>
        <w:spacing w:after="160" w:line="360"/>
        <w:ind w:firstLine="400"/>
        <w:jc w:val="both"/>
      </w:pPr>
      <w:r>
        <w:rPr>
          <w:rFonts w:ascii="Times New Roman" w:cs="Times New Roman" w:eastAsia="Times New Roman" w:hAnsi="Times New Roman"/>
          <w:color w:val="1A1A1A"/>
          <w:sz w:val="24"/>
          <w:szCs w:val="24"/>
        </w:rPr>
        <w:t xml:space="preserve">The urgency of this inquiry is heightened by India's Vikshit Bharat@2047 vision, which explicitly identifies education—and teacher education in particular—as a pillar of national transformation. Reimagining teacher training for twenty-first-century classrooms cannot be divorced from the institutional quality systems within which teacher educators are trained, evaluated, and supported. A teacher education institution that itself lacks robust internal quality processes is poorly positioned to model the very culture of continuous improvement it is expected to instil in its graduates. This paper therefore situates ISO 9001:2015 not as a replacement for accreditation, but as an internal management architecture capable of strengthening the quality culture that accreditation frameworks measure from the outside.</w:t>
      </w:r>
    </w:p>
    <w:p>
      <w:pPr>
        <w:spacing w:after="160" w:line="360"/>
        <w:ind w:firstLine="400"/>
        <w:jc w:val="both"/>
      </w:pPr>
      <w:r>
        <w:rPr>
          <w:rFonts w:ascii="Times New Roman" w:cs="Times New Roman" w:eastAsia="Times New Roman" w:hAnsi="Times New Roman"/>
          <w:color w:val="1A1A1A"/>
          <w:sz w:val="24"/>
          <w:szCs w:val="24"/>
        </w:rPr>
        <w:t xml:space="preserve">The paper proceeds as follows. Section 2 reviews relevant literature on quality management in higher education and ISO 9001 implementation. Section 3 states the objectives of the study. Section 4 provides an overview of the seven ISO 9001:2015 principles. Section 5 presents the proposed seven-part framework for HEI application. Section 6 discusses benefits, challenges, and barriers. Section 7 offers recommendations, and Section 8 concludes.</w:t>
      </w:r>
    </w:p>
    <w:p>
      <w:pPr>
        <w:spacing w:after="120" w:before="260"/>
      </w:pPr>
      <w:r>
        <w:rPr>
          <w:rFonts w:ascii="Times New Roman" w:cs="Times New Roman" w:eastAsia="Times New Roman" w:hAnsi="Times New Roman"/>
          <w:b/>
          <w:bCs/>
          <w:color w:val="0D1B3E"/>
          <w:sz w:val="26"/>
          <w:szCs w:val="26"/>
        </w:rPr>
        <w:t xml:space="preserve">2. Review of Related Literature</w:t>
      </w:r>
    </w:p>
    <w:p>
      <w:pPr>
        <w:spacing w:after="160" w:line="360"/>
        <w:ind w:firstLine="400"/>
        <w:jc w:val="both"/>
      </w:pPr>
      <w:r>
        <w:rPr>
          <w:rFonts w:ascii="Times New Roman" w:cs="Times New Roman" w:eastAsia="Times New Roman" w:hAnsi="Times New Roman"/>
          <w:color w:val="1A1A1A"/>
          <w:sz w:val="24"/>
          <w:szCs w:val="24"/>
        </w:rPr>
        <w:t xml:space="preserve">The intellectual foundations of quality management in education draw heavily on industrial quality theory. Deming's (1986) articulation of the Plan-Do-Check-Act (PDCA) cycle and his emphasis on reducing variation through systemic, management-driven improvement rather than individual blame has become a cornerstone of continuous improvement thinking across sectors, including education. Deming's insistence that quality is a system-level responsibility, not merely the outcome of individual effort, anticipates much of what later became embedded in ISO quality management principles. Crosby's (1979) contribution, particularly the notion of "conformance to requirements" and zero-defects thinking, reinforced the idea that quality could be defined operationally and pursued systematically rather than treated as an abstract aspiration. Juran and Godfrey (1999) extended this trajectory through the Juran Trilogy of quality planning, quality control, and quality improvement, offering a management-cycle perspective that maps closely onto contemporary process-approach thinking.</w:t>
      </w:r>
    </w:p>
    <w:p>
      <w:pPr>
        <w:spacing w:after="160" w:line="360"/>
        <w:ind w:firstLine="400"/>
        <w:jc w:val="both"/>
      </w:pPr>
      <w:r>
        <w:rPr>
          <w:rFonts w:ascii="Times New Roman" w:cs="Times New Roman" w:eastAsia="Times New Roman" w:hAnsi="Times New Roman"/>
          <w:color w:val="1A1A1A"/>
          <w:sz w:val="24"/>
          <w:szCs w:val="24"/>
        </w:rPr>
        <w:t xml:space="preserve">Within higher education specifically, Sallis (2002) produced one of the most widely cited treatments of total quality management in education, arguing that TQM principles—customer orientation, leadership commitment, continuous improvement, and staff empowerment—apply to educational institutions provided the notion of "customer" is adapted to the pedagogical relationship between institution, student, and society. Sallis's framework has been influential in shaping subsequent discourse on quality culture in schools and universities, particularly his insistence that quality in education must balance the language of customer service with the professional judgement intrinsic to teaching and learning.</w:t>
      </w:r>
    </w:p>
    <w:p>
      <w:pPr>
        <w:spacing w:after="160" w:line="360"/>
        <w:ind w:firstLine="400"/>
        <w:jc w:val="both"/>
      </w:pPr>
      <w:r>
        <w:rPr>
          <w:rFonts w:ascii="Times New Roman" w:cs="Times New Roman" w:eastAsia="Times New Roman" w:hAnsi="Times New Roman"/>
          <w:color w:val="1A1A1A"/>
          <w:sz w:val="24"/>
          <w:szCs w:val="24"/>
        </w:rPr>
        <w:t xml:space="preserve">Srikanthan and Dalrymple (2002, 2007) contributed a more education-specific critique, cautioning against uncritical importation of industrial quality models into higher education. They proposed a "transformative" model of quality in higher education that privileges student learning and engagement over narrowly transactional customer-service framings, arguing that higher education quality models must accommodate the transformative, developmental nature of the student-institution relationship rather than treating students merely as passive recipients of a service. Their critique is a useful corrective to overly mechanistic applications of ISO-style thinking in academic settings and is incorporated into the framework proposed later in this paper.</w:t>
      </w:r>
    </w:p>
    <w:p>
      <w:pPr>
        <w:spacing w:after="160" w:line="360"/>
        <w:ind w:firstLine="400"/>
        <w:jc w:val="both"/>
      </w:pPr>
      <w:r>
        <w:rPr>
          <w:rFonts w:ascii="Times New Roman" w:cs="Times New Roman" w:eastAsia="Times New Roman" w:hAnsi="Times New Roman"/>
          <w:color w:val="1A1A1A"/>
          <w:sz w:val="24"/>
          <w:szCs w:val="24"/>
        </w:rPr>
        <w:t xml:space="preserve">On the specific question of ISO 9001 implementation, Tarí (2011) reviewed empirical and conceptual literature on ISO 9001 in higher education, finding that implementation yields benefits in process documentation, administrative efficiency, and stakeholder confidence, but also noted implementation challenges including faculty resistance, perceived bureaucratic burden, and difficulty translating academic processes—which are often tacit, judgement-based, and variable—into standardised procedures. Venkatraman (2007) similarly examined quality management system adoption in engineering and technical education, observing that successful implementation depended heavily on leadership commitment and the extent to which documentation requirements were integrated into, rather than added alongside, existing academic workflows.</w:t>
      </w:r>
    </w:p>
    <w:p>
      <w:pPr>
        <w:spacing w:after="160" w:line="360"/>
        <w:ind w:firstLine="400"/>
        <w:jc w:val="both"/>
      </w:pPr>
      <w:r>
        <w:rPr>
          <w:rFonts w:ascii="Times New Roman" w:cs="Times New Roman" w:eastAsia="Times New Roman" w:hAnsi="Times New Roman"/>
          <w:color w:val="1A1A1A"/>
          <w:sz w:val="24"/>
          <w:szCs w:val="24"/>
        </w:rPr>
        <w:t xml:space="preserve">In the Indian context, the NAAC framework (National Assessment and Accreditation Council, 2019) operationalises quality assessment through criteria spanning curricular aspects, teaching-learning and evaluation, research and innovation, infrastructure, student support, governance, and institutional values. The UGC's quality assurance guidelines (University Grants Commission, 2015) similarly emphasise the establishment of Internal Quality Assurance Cells (IQACs) as the institutional mechanism for sustaining quality initiatives between accreditation cycles. Both frameworks share substantial conceptual overlap with ISO 9001:2015's process approach and continuous improvement orientation, though neither explicitly adopts ISO terminology or structure. This paper argues that the overlap is sufficiently strong that ISO 9001:2015 principles can be mapped onto, and used to operationally strengthen, the IQAC-driven quality assurance architecture already mandated in Indian HEIs, rather than being treated as a competing or redundant system.</w:t>
      </w:r>
    </w:p>
    <w:p>
      <w:pPr>
        <w:spacing w:after="160" w:line="360"/>
        <w:ind w:firstLine="400"/>
        <w:jc w:val="both"/>
      </w:pPr>
      <w:r>
        <w:rPr>
          <w:rFonts w:ascii="Times New Roman" w:cs="Times New Roman" w:eastAsia="Times New Roman" w:hAnsi="Times New Roman"/>
          <w:color w:val="1A1A1A"/>
          <w:sz w:val="24"/>
          <w:szCs w:val="24"/>
        </w:rPr>
        <w:t xml:space="preserve">Taken together, the literature suggests three points of consensus relevant to this paper: first, that industrial quality principles are adaptable to educational settings provided the distinctive nature of teaching-learning is respected; second, that leadership commitment and cultural buy-in are more decisive to successful implementation than documentation compliance per se; and third, that in contexts such as India, any ISO-based framework must be positioned as complementary to, rather than a substitute for, existing accreditation-driven quality assurance mechanisms.</w:t>
      </w:r>
    </w:p>
    <w:p>
      <w:pPr>
        <w:spacing w:after="120" w:before="260"/>
      </w:pPr>
      <w:r>
        <w:rPr>
          <w:rFonts w:ascii="Times New Roman" w:cs="Times New Roman" w:eastAsia="Times New Roman" w:hAnsi="Times New Roman"/>
          <w:b/>
          <w:bCs/>
          <w:color w:val="0D1B3E"/>
          <w:sz w:val="26"/>
          <w:szCs w:val="26"/>
        </w:rPr>
        <w:t xml:space="preserve">3. Objectives of the Study</w:t>
      </w:r>
    </w:p>
    <w:p>
      <w:pPr>
        <w:spacing w:after="160" w:line="360"/>
        <w:ind w:firstLine="400"/>
        <w:jc w:val="both"/>
      </w:pPr>
      <w:r>
        <w:rPr>
          <w:rFonts w:ascii="Times New Roman" w:cs="Times New Roman" w:eastAsia="Times New Roman" w:hAnsi="Times New Roman"/>
          <w:color w:val="1A1A1A"/>
          <w:sz w:val="24"/>
          <w:szCs w:val="24"/>
        </w:rPr>
        <w:t xml:space="preserve">This study pursues the following objectives:</w:t>
      </w:r>
    </w:p>
    <w:p>
      <w:pPr>
        <w:spacing w:after="160" w:line="360"/>
        <w:ind w:firstLine="400"/>
        <w:jc w:val="both"/>
      </w:pPr>
      <w:r>
        <w:rPr>
          <w:rFonts w:ascii="Times New Roman" w:cs="Times New Roman" w:eastAsia="Times New Roman" w:hAnsi="Times New Roman"/>
          <w:color w:val="1A1A1A"/>
          <w:sz w:val="24"/>
          <w:szCs w:val="24"/>
        </w:rPr>
        <w:t xml:space="preserve">1. To examine the seven core principles of ISO 9001:2015 and their conceptual relevance to the functioning of higher education institutions. 2. To propose a structured framework mapping each ISO 9001:2015 principle onto specific academic and administrative practices within HEIs. 3. To analyse the potential benefits of applying ISO 9001:2015 principles to institutional quality assurance in the Indian higher education context. 4. To identify challenges and structural barriers likely to be encountered during implementation, with particular reference to existing NAAC and UGC quality mechanisms. 5. To offer practical recommendations for HEIs, particularly teacher education institutions, seeking to integrate ISO 9001:2015 thinking into their internal quality assurance architecture.</w:t>
      </w:r>
    </w:p>
    <w:p>
      <w:pPr>
        <w:spacing w:after="120" w:before="260"/>
      </w:pPr>
      <w:r>
        <w:rPr>
          <w:rFonts w:ascii="Times New Roman" w:cs="Times New Roman" w:eastAsia="Times New Roman" w:hAnsi="Times New Roman"/>
          <w:b/>
          <w:bCs/>
          <w:color w:val="0D1B3E"/>
          <w:sz w:val="26"/>
          <w:szCs w:val="26"/>
        </w:rPr>
        <w:t xml:space="preserve">4. ISO 9001:2015 Core Principles — Overview</w:t>
      </w:r>
    </w:p>
    <w:p>
      <w:pPr>
        <w:spacing w:after="160" w:line="360"/>
        <w:ind w:firstLine="400"/>
        <w:jc w:val="both"/>
      </w:pPr>
      <w:r>
        <w:rPr>
          <w:rFonts w:ascii="Times New Roman" w:cs="Times New Roman" w:eastAsia="Times New Roman" w:hAnsi="Times New Roman"/>
          <w:color w:val="1A1A1A"/>
          <w:sz w:val="24"/>
          <w:szCs w:val="24"/>
        </w:rPr>
        <w:t xml:space="preserve">ISO 9001:2015 rests on seven quality management principles that collectively describe an integrated, systems-based approach to organisational quality (International Organization for Standardization, 2015). The first, customer focus, holds that organisations exist to meet and, where possible, exceed customer requirements and expectations, and that sustained organisational success depends on understanding present and future customer needs. The second, leadership, asserts that leaders at all levels establish unity of purpose and direction, creating the internal conditions in which people become engaged in achieving the organisation's quality objectives. The third principle, engagement of people, recognises that competent, empowered, and engaged personnel at all levels are essential to an organisation's capacity to create and deliver value; quality cannot be imposed top-down but must be co-owned by those who perform the work.</w:t>
      </w:r>
    </w:p>
    <w:p>
      <w:pPr>
        <w:spacing w:after="160" w:line="360"/>
        <w:ind w:firstLine="400"/>
        <w:jc w:val="both"/>
      </w:pPr>
      <w:r>
        <w:rPr>
          <w:rFonts w:ascii="Times New Roman" w:cs="Times New Roman" w:eastAsia="Times New Roman" w:hAnsi="Times New Roman"/>
          <w:color w:val="1A1A1A"/>
          <w:sz w:val="24"/>
          <w:szCs w:val="24"/>
        </w:rPr>
        <w:t xml:space="preserve">The fourth principle, process approach, holds that consistent and predictable results are achieved more effectively when activities are understood and managed as interrelated processes that function as a coherent system, rather than as isolated tasks. The fifth, improvement, treats continual improvement as a permanent organisational objective, essential for maintaining current performance levels, responding to internal and external changes, and creating new opportunities. The sixth principle, evidence-based decision making, holds that decisions grounded in the analysis and evaluation of data and information are more likely to produce desired results than decisions based on intuition alone. The seventh and final principle, relationship management, recognises that an organisation's sustained success depends on managing its relationships with interested parties, such as suppliers, partners, and other stakeholders, in a manner that optimises their impact on organisational performance.</w:t>
      </w:r>
    </w:p>
    <w:p>
      <w:pPr>
        <w:spacing w:after="160" w:line="360"/>
        <w:ind w:firstLine="400"/>
        <w:jc w:val="both"/>
      </w:pPr>
      <w:r>
        <w:rPr>
          <w:rFonts w:ascii="Times New Roman" w:cs="Times New Roman" w:eastAsia="Times New Roman" w:hAnsi="Times New Roman"/>
          <w:color w:val="1A1A1A"/>
          <w:sz w:val="24"/>
          <w:szCs w:val="24"/>
        </w:rPr>
        <w:t xml:space="preserve">These seven principles are not conceived as independent checklist items but as a mutually reinforcing system: leadership enables people engagement, which in turn sustains the process approach; process management generates the evidence base for decision making; and continuous improvement and relationship management extend the system's capacity to adapt over time. It is this systemic interdependence—rather than any single principle in isolation—that constitutes the distinctive contribution ISO 9001:2015 can offer to higher education quality assurance, and it is this logic that the framework proposed in the following section attempts to preserve.</w:t>
      </w:r>
    </w:p>
    <w:p>
      <w:pPr>
        <w:spacing w:after="120" w:before="260"/>
      </w:pPr>
      <w:r>
        <w:rPr>
          <w:rFonts w:ascii="Times New Roman" w:cs="Times New Roman" w:eastAsia="Times New Roman" w:hAnsi="Times New Roman"/>
          <w:b/>
          <w:bCs/>
          <w:color w:val="0D1B3E"/>
          <w:sz w:val="26"/>
          <w:szCs w:val="26"/>
        </w:rPr>
        <w:t xml:space="preserve">5. Proposed Framework for Application in Higher Education Institutions</w:t>
      </w:r>
    </w:p>
    <w:p>
      <w:pPr>
        <w:spacing w:after="160" w:line="360"/>
        <w:ind w:firstLine="400"/>
        <w:jc w:val="both"/>
      </w:pPr>
      <w:r>
        <w:rPr>
          <w:rFonts w:ascii="Times New Roman" w:cs="Times New Roman" w:eastAsia="Times New Roman" w:hAnsi="Times New Roman"/>
          <w:color w:val="1A1A1A"/>
          <w:sz w:val="24"/>
          <w:szCs w:val="24"/>
        </w:rPr>
        <w:t xml:space="preserve">The framework proposed here maps each of the seven ISO 9001:2015 principles onto a corresponding domain of HEI practice, while remaining sensitive to Srikanthan and Dalrymple's (2002) caution against a purely transactional reading of the student-institution relationship.</w:t>
      </w:r>
    </w:p>
    <w:p>
      <w:pPr>
        <w:spacing w:after="90" w:before="160"/>
      </w:pPr>
      <w:r>
        <w:rPr>
          <w:rFonts w:ascii="Times New Roman" w:cs="Times New Roman" w:eastAsia="Times New Roman" w:hAnsi="Times New Roman"/>
          <w:b/>
          <w:bCs/>
          <w:i/>
          <w:iCs/>
          <w:color w:val="9C7620"/>
          <w:sz w:val="24"/>
          <w:szCs w:val="24"/>
        </w:rPr>
        <w:t xml:space="preserve">5.1 Customer Focus — Students/Stakeholders as Customers</w:t>
      </w:r>
    </w:p>
    <w:p>
      <w:pPr>
        <w:spacing w:after="160" w:line="360"/>
        <w:ind w:firstLine="400"/>
        <w:jc w:val="both"/>
      </w:pPr>
      <w:r>
        <w:rPr>
          <w:rFonts w:ascii="Times New Roman" w:cs="Times New Roman" w:eastAsia="Times New Roman" w:hAnsi="Times New Roman"/>
          <w:color w:val="1A1A1A"/>
          <w:sz w:val="24"/>
          <w:szCs w:val="24"/>
        </w:rPr>
        <w:t xml:space="preserve">Applying customer focus to higher education requires an expanded, layered conception of "customer" that includes students as primary internal customers, but also parents, employers, professional regulatory bodies, and society as secondary or external customers whose expectations shape institutional purpose. Rather than reducing the student to a passive service recipient, this principle is best operationalised as systematic mechanisms for understanding stakeholder expectations—structured feedback on curriculum relevance and teaching quality, employer input into programme design, alumni perspectives on career preparedness, and community feedback on institutional social contribution—feeding directly into curriculum revision and service design. Institutions that already conduct structured stakeholder feedback as part of NAAC's student satisfaction and IQAC processes possess a ready-made channel through which this principle can be formalised and made continuous rather than episodic.</w:t>
      </w:r>
    </w:p>
    <w:p>
      <w:pPr>
        <w:spacing w:after="90" w:before="160"/>
      </w:pPr>
      <w:r>
        <w:rPr>
          <w:rFonts w:ascii="Times New Roman" w:cs="Times New Roman" w:eastAsia="Times New Roman" w:hAnsi="Times New Roman"/>
          <w:b/>
          <w:bCs/>
          <w:i/>
          <w:iCs/>
          <w:color w:val="9C7620"/>
          <w:sz w:val="24"/>
          <w:szCs w:val="24"/>
        </w:rPr>
        <w:t xml:space="preserve">5.2 Leadership — Institutional Governance and Vision</w:t>
      </w:r>
    </w:p>
    <w:p>
      <w:pPr>
        <w:spacing w:after="160" w:line="360"/>
        <w:ind w:firstLine="400"/>
        <w:jc w:val="both"/>
      </w:pPr>
      <w:r>
        <w:rPr>
          <w:rFonts w:ascii="Times New Roman" w:cs="Times New Roman" w:eastAsia="Times New Roman" w:hAnsi="Times New Roman"/>
          <w:color w:val="1A1A1A"/>
          <w:sz w:val="24"/>
          <w:szCs w:val="24"/>
        </w:rPr>
        <w:t xml:space="preserve">The leadership principle translates into the requirement that institutional heads—vice-chancellors, principals, deans, and department heads—articulate a clear, communicated quality vision and demonstrably commit resources, time, and personal involvement to its pursuit. In the HEI context, this means quality objectives being visibly integrated into strategic and institutional development plans rather than confined to IQAC documentation; governance bodies, including governing councils and academic senates, treating quality performance as a standing agenda item; and heads of institutions personally participating in quality review cycles rather than delegating them entirely to quality cells. Leadership commitment of this kind has been repeatedly identified in the literature as the single most decisive factor differentiating successful from superficial quality management implementation (Tarí, 2011; Venkatraman, 2007).</w:t>
      </w:r>
    </w:p>
    <w:p>
      <w:pPr>
        <w:spacing w:after="90" w:before="160"/>
      </w:pPr>
      <w:r>
        <w:rPr>
          <w:rFonts w:ascii="Times New Roman" w:cs="Times New Roman" w:eastAsia="Times New Roman" w:hAnsi="Times New Roman"/>
          <w:b/>
          <w:bCs/>
          <w:i/>
          <w:iCs/>
          <w:color w:val="9C7620"/>
          <w:sz w:val="24"/>
          <w:szCs w:val="24"/>
        </w:rPr>
        <w:t xml:space="preserve">5.3 Engagement of People — Faculty and Staff Involvement</w:t>
      </w:r>
    </w:p>
    <w:p>
      <w:pPr>
        <w:spacing w:after="160" w:line="360"/>
        <w:ind w:firstLine="400"/>
        <w:jc w:val="both"/>
      </w:pPr>
      <w:r>
        <w:rPr>
          <w:rFonts w:ascii="Times New Roman" w:cs="Times New Roman" w:eastAsia="Times New Roman" w:hAnsi="Times New Roman"/>
          <w:color w:val="1A1A1A"/>
          <w:sz w:val="24"/>
          <w:szCs w:val="24"/>
        </w:rPr>
        <w:t xml:space="preserve">Faculty and non-teaching staff are the principal agents through whom institutional quality is actually delivered, and their engagement principle requires that quality processes be co-designed with, rather than imposed upon, those who must implement them. Practical mechanisms include involving faculty in curriculum design and periodic review committees, recognising and rewarding contributions to quality initiatives such as innovative pedagogy or successful accreditation outcomes, building capacity through faculty development programmes on outcome-based education and assessment design, and creating departmental quality circles that allow teaching staff to identify and resolve process bottlenecks close to the point of delivery. Given that faculty resistance to perceived bureaucratic overload has been identified as a recurring obstacle to ISO implementation in academic settings (Tarí, 2011), genuine co-ownership rather than compliance-driven participation is essential to this principle's success.</w:t>
      </w:r>
    </w:p>
    <w:p>
      <w:pPr>
        <w:spacing w:after="90" w:before="160"/>
      </w:pPr>
      <w:r>
        <w:rPr>
          <w:rFonts w:ascii="Times New Roman" w:cs="Times New Roman" w:eastAsia="Times New Roman" w:hAnsi="Times New Roman"/>
          <w:b/>
          <w:bCs/>
          <w:i/>
          <w:iCs/>
          <w:color w:val="9C7620"/>
          <w:sz w:val="24"/>
          <w:szCs w:val="24"/>
        </w:rPr>
        <w:t xml:space="preserve">5.4 Process Approach — Academic and Administrative Process Mapping</w:t>
      </w:r>
    </w:p>
    <w:p>
      <w:pPr>
        <w:spacing w:after="160" w:line="360"/>
        <w:ind w:firstLine="400"/>
        <w:jc w:val="both"/>
      </w:pPr>
      <w:r>
        <w:rPr>
          <w:rFonts w:ascii="Times New Roman" w:cs="Times New Roman" w:eastAsia="Times New Roman" w:hAnsi="Times New Roman"/>
          <w:color w:val="1A1A1A"/>
          <w:sz w:val="24"/>
          <w:szCs w:val="24"/>
        </w:rPr>
        <w:t xml:space="preserve">The process approach requires HEIs to explicitly identify, document, and manage their core academic and administrative processes as an interrelated system rather than as fragmented departmental silos. Academic processes amenable to this treatment include admissions, curriculum design and approval, teaching-learning delivery, internal assessment and examination, and student support services; administrative processes include recruitment, procurement, infrastructure maintenance, grievance redressal, and financial administration. Mapping these processes—identifying inputs, outputs, responsible owners, and interfaces between departments—creates the documentation backbone already partially required for NAAC's Self-Study Report preparation, meaning process mapping undertaken for ISO-aligned purposes can simultaneously strengthen accreditation readiness rather than duplicating institutional effort.</w:t>
      </w:r>
    </w:p>
    <w:p>
      <w:pPr>
        <w:spacing w:after="90" w:before="160"/>
      </w:pPr>
      <w:r>
        <w:rPr>
          <w:rFonts w:ascii="Times New Roman" w:cs="Times New Roman" w:eastAsia="Times New Roman" w:hAnsi="Times New Roman"/>
          <w:b/>
          <w:bCs/>
          <w:i/>
          <w:iCs/>
          <w:color w:val="9C7620"/>
          <w:sz w:val="24"/>
          <w:szCs w:val="24"/>
        </w:rPr>
        <w:t xml:space="preserve">5.5 Improvement — PDCA Cycle in Curriculum and Teaching-Learning</w:t>
      </w:r>
    </w:p>
    <w:p>
      <w:pPr>
        <w:spacing w:after="160" w:line="360"/>
        <w:ind w:firstLine="400"/>
        <w:jc w:val="both"/>
      </w:pPr>
      <w:r>
        <w:rPr>
          <w:rFonts w:ascii="Times New Roman" w:cs="Times New Roman" w:eastAsia="Times New Roman" w:hAnsi="Times New Roman"/>
          <w:color w:val="1A1A1A"/>
          <w:sz w:val="24"/>
          <w:szCs w:val="24"/>
        </w:rPr>
        <w:t xml:space="preserve">The improvement principle is most directly operationalised in HEIs through explicit application of Deming's (1986) PDCA cycle to curriculum and pedagogy. In the Plan phase, learning outcomes and curriculum content are defined against professional, disciplinary, and labour-market requirements; in the Do phase, teaching-learning is delivered according to planned methods, including the pedagogical innovations increasingly demanded of twenty-first-century classrooms; in the Check phase, outcomes are assessed through internal assessment, external examination results, and structured feedback; and in the Act phase, curriculum, pedagogy, and assessment design are revised in light of what the Check phase reveals. Embedding PDCA as a recurring annual or semester-level cycle, rather than a one-time curriculum revision exercise, transforms improvement from an episodic accreditation-driven event into an ongoing institutional habit—precisely the quality culture that reimagined teacher training for Vikshit Bharat@2047 requires.</w:t>
      </w:r>
    </w:p>
    <w:p>
      <w:pPr>
        <w:spacing w:after="90" w:before="160"/>
      </w:pPr>
      <w:r>
        <w:rPr>
          <w:rFonts w:ascii="Times New Roman" w:cs="Times New Roman" w:eastAsia="Times New Roman" w:hAnsi="Times New Roman"/>
          <w:b/>
          <w:bCs/>
          <w:i/>
          <w:iCs/>
          <w:color w:val="9C7620"/>
          <w:sz w:val="24"/>
          <w:szCs w:val="24"/>
        </w:rPr>
        <w:t xml:space="preserve">5.6 Evidence-Based Decision Making — Data-Driven Institutional Planning</w:t>
      </w:r>
    </w:p>
    <w:p>
      <w:pPr>
        <w:spacing w:after="160" w:line="360"/>
        <w:ind w:firstLine="400"/>
        <w:jc w:val="both"/>
      </w:pPr>
      <w:r>
        <w:rPr>
          <w:rFonts w:ascii="Times New Roman" w:cs="Times New Roman" w:eastAsia="Times New Roman" w:hAnsi="Times New Roman"/>
          <w:color w:val="1A1A1A"/>
          <w:sz w:val="24"/>
          <w:szCs w:val="24"/>
        </w:rPr>
        <w:t xml:space="preserve">This principle requires HEIs to build institutional research capacity and data infrastructure sufficient to inform planning decisions with evidence rather than intuition or precedent alone. Relevant data streams include student learning outcome data, attrition and progression statistics, placement and higher-education transition records, faculty performance and development indicators, and stakeholder feedback aggregated over time. Establishing a dedicated institutional research or planning function—closely coordinated with the IQAC—that consolidates these data streams into periodic dashboards for leadership review operationalises evidence-based decision making in a manner directly compatible with NAAC's increasing emphasis on quantifiable, evidence-backed institutional claims.</w:t>
      </w:r>
    </w:p>
    <w:p>
      <w:pPr>
        <w:spacing w:after="90" w:before="160"/>
      </w:pPr>
      <w:r>
        <w:rPr>
          <w:rFonts w:ascii="Times New Roman" w:cs="Times New Roman" w:eastAsia="Times New Roman" w:hAnsi="Times New Roman"/>
          <w:b/>
          <w:bCs/>
          <w:i/>
          <w:iCs/>
          <w:color w:val="9C7620"/>
          <w:sz w:val="24"/>
          <w:szCs w:val="24"/>
        </w:rPr>
        <w:t xml:space="preserve">5.7 Relationship Management — Industry, Alumni, and Community Partnerships</w:t>
      </w:r>
    </w:p>
    <w:p>
      <w:pPr>
        <w:spacing w:after="160" w:line="360"/>
        <w:ind w:firstLine="400"/>
        <w:jc w:val="both"/>
      </w:pPr>
      <w:r>
        <w:rPr>
          <w:rFonts w:ascii="Times New Roman" w:cs="Times New Roman" w:eastAsia="Times New Roman" w:hAnsi="Times New Roman"/>
          <w:color w:val="1A1A1A"/>
          <w:sz w:val="24"/>
          <w:szCs w:val="24"/>
        </w:rPr>
        <w:t xml:space="preserve">The final principle requires HEIs to manage relationships with external parties whose engagement materially affects institutional performance and student outcomes, most notably industry partners, alumni networks, and the surrounding community. Structured mechanisms include formal memoranda of understanding with industry for internships, curriculum input, and placement; alumni engagement platforms that channel career feedback and mentorship back into the institution; and community outreach and extension activities that fulfil the social responsibility dimension increasingly emphasised in NAAC's institutional values criterion. Treating these relationships as managed assets, reviewed and renewed systematically rather than left to informal or personality-dependent arrangements, extends the quality system beyond the institution's boundary and strengthens its long-term resilience and relevance.</w:t>
      </w:r>
    </w:p>
    <w:p>
      <w:pPr>
        <w:spacing w:after="120" w:before="260"/>
      </w:pPr>
      <w:r>
        <w:rPr>
          <w:rFonts w:ascii="Times New Roman" w:cs="Times New Roman" w:eastAsia="Times New Roman" w:hAnsi="Times New Roman"/>
          <w:b/>
          <w:bCs/>
          <w:color w:val="0D1B3E"/>
          <w:sz w:val="26"/>
          <w:szCs w:val="26"/>
        </w:rPr>
        <w:t xml:space="preserve">6. Discussion — Benefits, Challenges, and Barriers to Implementation in HEIs</w:t>
      </w:r>
    </w:p>
    <w:p>
      <w:pPr>
        <w:spacing w:after="160" w:line="360"/>
        <w:ind w:firstLine="400"/>
        <w:jc w:val="both"/>
      </w:pPr>
      <w:r>
        <w:rPr>
          <w:rFonts w:ascii="Times New Roman" w:cs="Times New Roman" w:eastAsia="Times New Roman" w:hAnsi="Times New Roman"/>
          <w:color w:val="1A1A1A"/>
          <w:sz w:val="24"/>
          <w:szCs w:val="24"/>
        </w:rPr>
        <w:t xml:space="preserve">The potential benefits of applying ISO 9001:2015 principles in HEIs are substantial. Foremost among these is the shift from episodic, accreditation-cycle-driven quality assurance toward a continuous, embedded quality culture, in which improvement is a routine institutional habit rather than a periodic compliance exercise undertaken primarily to satisfy external assessors. Process documentation undertaken for ISO alignment purposes also directly strengthens NAAC Self-Study Report preparation and UGC compliance reporting, meaning the two systems can be mutually reinforcing rather than duplicative. A further benefit lies in improved administrative efficiency and role clarity: process mapping tends to surface redundant approval chains, unclear ownership, and communication gaps between academic and administrative wings, all of which are common sources of institutional inefficiency in Indian HEIs. Finally, systematic stakeholder feedback mechanisms and relationship management practices strengthen institutional reputation and stakeholder trust, factors of growing importance as Indian HEIs compete for students, funding, and industry partnerships in an increasingly crowded higher education marketplace.</w:t>
      </w:r>
    </w:p>
    <w:p>
      <w:pPr>
        <w:spacing w:after="160" w:line="360"/>
        <w:ind w:firstLine="400"/>
        <w:jc w:val="both"/>
      </w:pPr>
      <w:r>
        <w:rPr>
          <w:rFonts w:ascii="Times New Roman" w:cs="Times New Roman" w:eastAsia="Times New Roman" w:hAnsi="Times New Roman"/>
          <w:color w:val="1A1A1A"/>
          <w:sz w:val="24"/>
          <w:szCs w:val="24"/>
        </w:rPr>
        <w:t xml:space="preserve">Against these benefits, the literature and the framework proposed above point to several significant challenges. The most frequently cited is the risk of excessive bureaucratisation: because academic work involves substantial professional judgement, creativity, and variability that is difficult to standardise, poorly designed ISO documentation requirements can be perceived by faculty as compliance burden disconnected from the substance of teaching and scholarship (Tarí, 2011). A second challenge concerns the conceptual tension embedded in treating students as "customers," a framing that, if applied uncritically, risks reducing the transformative, developmental relationship between teacher and learner to a transactional service exchange—precisely the concern raised by Srikanthan and Dalrymple (2002). A third challenge is resource intensity: certification, documentation, internal audit, and management review processes require dedicated personnel time and, in the case of formal external certification, financial investment that many resource-constrained public and aided institutions may struggle to justify or sustain. A fourth challenge is the risk of parallel-system fatigue, in which ISO-driven quality processes are perceived by faculty and staff as an additional layer running alongside, rather than integrated with, existing NAAC and IQAC obligations, generating duplicated effort and reporting fatigue rather than synergy.</w:t>
      </w:r>
    </w:p>
    <w:p>
      <w:pPr>
        <w:spacing w:after="160" w:line="360"/>
        <w:ind w:firstLine="400"/>
        <w:jc w:val="both"/>
      </w:pPr>
      <w:r>
        <w:rPr>
          <w:rFonts w:ascii="Times New Roman" w:cs="Times New Roman" w:eastAsia="Times New Roman" w:hAnsi="Times New Roman"/>
          <w:color w:val="1A1A1A"/>
          <w:sz w:val="24"/>
          <w:szCs w:val="24"/>
        </w:rPr>
        <w:t xml:space="preserve">Structural barriers specific to the Indian higher education system compound these challenges. Many HEIs, particularly government and aided colleges, operate under significant resource and staffing constraints that limit capacity for dedicated quality management functions beyond the statutorily mandated IQAC. Faculty workload, already stretched across teaching, research, and administrative responsibilities, leaves limited bandwidth for additional process documentation and review activity. Leadership tenure in many public institutions is relatively short and subject to administrative transfer, which can undermine the sustained, multi-year leadership commitment that successful quality system implementation requires. Finally, the sheer diversity of the Indian higher education system—spanning autonomous colleges, affiliated colleges, deemed universities, and centrally and state-funded institutions—means that any framework, including the one proposed here, must be adapted flexibly to institutional context rather than applied as a uniform template.</w:t>
      </w:r>
    </w:p>
    <w:p>
      <w:pPr>
        <w:spacing w:after="120" w:before="260"/>
      </w:pPr>
      <w:r>
        <w:rPr>
          <w:rFonts w:ascii="Times New Roman" w:cs="Times New Roman" w:eastAsia="Times New Roman" w:hAnsi="Times New Roman"/>
          <w:b/>
          <w:bCs/>
          <w:color w:val="0D1B3E"/>
          <w:sz w:val="26"/>
          <w:szCs w:val="26"/>
        </w:rPr>
        <w:t xml:space="preserve">7. Recommendations</w:t>
      </w:r>
    </w:p>
    <w:p>
      <w:pPr>
        <w:spacing w:after="160" w:line="360"/>
        <w:ind w:firstLine="400"/>
        <w:jc w:val="both"/>
      </w:pPr>
      <w:r>
        <w:rPr>
          <w:rFonts w:ascii="Times New Roman" w:cs="Times New Roman" w:eastAsia="Times New Roman" w:hAnsi="Times New Roman"/>
          <w:color w:val="1A1A1A"/>
          <w:sz w:val="24"/>
          <w:szCs w:val="24"/>
        </w:rPr>
        <w:t xml:space="preserve">Based on the foregoing analysis, several recommendations emerge for HEIs, particularly teacher education institutions, considering the application of ISO 9001:2015 principles. First, institutions should pursue integration rather than duplication, explicitly aligning ISO-inspired process documentation with existing IQAC and NAAC Self-Study Report requirements so that quality assurance effort serves both purposes simultaneously. Second, implementation should begin with a phased, pilot-based approach, applying the framework initially to one or two high-impact processes—such as curriculum review or student feedback—before scaling institution-wide, allowing lessons learned to inform broader rollout. Third, leadership must visibly and consistently champion the initiative, embedding quality objectives into institutional strategic plans and governance body agendas rather than delegating quality entirely to a designated cell. Fourth, faculty engagement should be prioritised through participatory process design, capacity-building workshops, and recognition mechanisms that frame quality management as a professional development opportunity rather than an administrative imposition. Fifth, institutions should invest in institutional research capacity, however modest, to support the evidence-based decision-making principle, even where formal ISO certification is not pursued. Sixth, the customer-focus principle should be operationalised through a balanced framing that retains the developmental, transformative nature of the teacher-student relationship, using stakeholder feedback to inform improvement without reducing pedagogy to service delivery. Finally, given resource constraints across much of the Indian higher education sector, institutions need not pursue formal ISO 9001:2015 certification to benefit from the framework; the seven principles can be adopted conceptually and structurally, embedded into IQAC functioning, without incurring the cost and administrative burden of external certification.</w:t>
      </w:r>
    </w:p>
    <w:p>
      <w:pPr>
        <w:spacing w:after="120" w:before="260"/>
      </w:pPr>
      <w:r>
        <w:rPr>
          <w:rFonts w:ascii="Times New Roman" w:cs="Times New Roman" w:eastAsia="Times New Roman" w:hAnsi="Times New Roman"/>
          <w:b/>
          <w:bCs/>
          <w:color w:val="0D1B3E"/>
          <w:sz w:val="26"/>
          <w:szCs w:val="26"/>
        </w:rPr>
        <w:t xml:space="preserve">8. Conclusion</w:t>
      </w:r>
    </w:p>
    <w:p>
      <w:pPr>
        <w:spacing w:after="160" w:line="360"/>
        <w:ind w:firstLine="400"/>
        <w:jc w:val="both"/>
      </w:pPr>
      <w:r>
        <w:rPr>
          <w:rFonts w:ascii="Times New Roman" w:cs="Times New Roman" w:eastAsia="Times New Roman" w:hAnsi="Times New Roman"/>
          <w:color w:val="1A1A1A"/>
          <w:sz w:val="24"/>
          <w:szCs w:val="24"/>
        </w:rPr>
        <w:t xml:space="preserve">This paper has argued that the seven core principles of ISO 9001:2015—customer focus, leadership, engagement of people, process approach, improvement, evidence-based decision making, and relationship management—offer a coherent, systems-based framework capable of strengthening quality assurance and continuous improvement in higher education institutions. Rather than positioning ISO 9001:2015 as a competitor to India's established NAAC and UGC quality assurance architecture, this paper has proposed that its principles be understood as an internal management logic that can operationalise and sustain the quality culture that accreditation frameworks assess periodically from outside. The seven-part framework developed here maps each principle onto a specific domain of institutional practice, from stakeholder-oriented student engagement and visible institutional leadership, through faculty co-ownership and process mapping, to PDCA-based curriculum improvement, data-driven planning, and managed external partnerships. While implementation challenges—bureaucratic risk, resource constraints, and the need to preserve the transformative character of teaching and learning—are real and must be taken seriously, the potential benefits for institutional efficiency, stakeholder trust, and sustained improvement are substantial. As India pursues the Vikshit Bharat@2047 vision and seeks to reimagine teacher training for twenty-first-century classrooms, institutions that embed continuous, evidence-based, and stakeholder-responsive quality processes into their everyday functioning will be better positioned to prepare educators capable of meeting that vision. Future work might usefully explore empirical case studies of ISO-aligned quality initiatives within Indian teacher education institutions, examining implementation outcomes over multiple accreditation cycles.</w:t>
      </w:r>
    </w:p>
    <w:p>
      <w:pPr>
        <w:pBdr>
          <w:bottom w:val="single" w:color="C8972A" w:sz="6" w:space="4"/>
        </w:pBdr>
        <w:spacing w:after="140" w:before="260"/>
      </w:pPr>
      <w:r>
        <w:rPr>
          <w:rFonts w:ascii="Times New Roman" w:cs="Times New Roman" w:eastAsia="Times New Roman" w:hAnsi="Times New Roman"/>
          <w:b/>
          <w:bCs/>
          <w:color w:val="0D1B3E"/>
          <w:sz w:val="26"/>
          <w:szCs w:val="26"/>
        </w:rPr>
        <w:t xml:space="preserve">References</w:t>
      </w:r>
    </w:p>
    <w:p>
      <w:pPr>
        <w:spacing w:after="130" w:line="280"/>
        <w:ind w:left="480" w:hanging="480"/>
        <w:jc w:val="left"/>
      </w:pPr>
      <w:r>
        <w:rPr>
          <w:rFonts w:ascii="Times New Roman" w:cs="Times New Roman" w:eastAsia="Times New Roman" w:hAnsi="Times New Roman"/>
          <w:color w:val="1A1A1A"/>
          <w:sz w:val="22"/>
          <w:szCs w:val="22"/>
        </w:rPr>
        <w:t xml:space="preserve">Crosby, P. B. (1979). Quality is free: The art of making quality certain. McGraw-Hill.</w:t>
      </w:r>
    </w:p>
    <w:p>
      <w:pPr>
        <w:spacing w:after="130" w:line="280"/>
        <w:ind w:left="480" w:hanging="480"/>
        <w:jc w:val="left"/>
      </w:pPr>
      <w:r>
        <w:rPr>
          <w:rFonts w:ascii="Times New Roman" w:cs="Times New Roman" w:eastAsia="Times New Roman" w:hAnsi="Times New Roman"/>
          <w:color w:val="1A1A1A"/>
          <w:sz w:val="22"/>
          <w:szCs w:val="22"/>
        </w:rPr>
        <w:t xml:space="preserve">Deming, W. E. (1986). Out of the crisis. MIT Center for Advanced Engineering Study.</w:t>
      </w:r>
    </w:p>
    <w:p>
      <w:pPr>
        <w:spacing w:after="130" w:line="280"/>
        <w:ind w:left="480" w:hanging="480"/>
        <w:jc w:val="left"/>
      </w:pPr>
      <w:r>
        <w:rPr>
          <w:rFonts w:ascii="Times New Roman" w:cs="Times New Roman" w:eastAsia="Times New Roman" w:hAnsi="Times New Roman"/>
          <w:color w:val="1A1A1A"/>
          <w:sz w:val="22"/>
          <w:szCs w:val="22"/>
        </w:rPr>
        <w:t xml:space="preserve">International Organization for Standardization. (2015). ISO 9001:2015 — Quality management systems: Requirements. ISO.</w:t>
      </w:r>
    </w:p>
    <w:p>
      <w:pPr>
        <w:spacing w:after="130" w:line="280"/>
        <w:ind w:left="480" w:hanging="480"/>
        <w:jc w:val="left"/>
      </w:pPr>
      <w:r>
        <w:rPr>
          <w:rFonts w:ascii="Times New Roman" w:cs="Times New Roman" w:eastAsia="Times New Roman" w:hAnsi="Times New Roman"/>
          <w:color w:val="1A1A1A"/>
          <w:sz w:val="22"/>
          <w:szCs w:val="22"/>
        </w:rPr>
        <w:t xml:space="preserve">Juran, J. M., &amp; Godfrey, A. B. (1999). Juran's quality handbook (5th ed.). McGraw-Hill.</w:t>
      </w:r>
    </w:p>
    <w:p>
      <w:pPr>
        <w:spacing w:after="130" w:line="280"/>
        <w:ind w:left="480" w:hanging="480"/>
        <w:jc w:val="left"/>
      </w:pPr>
      <w:r>
        <w:rPr>
          <w:rFonts w:ascii="Times New Roman" w:cs="Times New Roman" w:eastAsia="Times New Roman" w:hAnsi="Times New Roman"/>
          <w:color w:val="1A1A1A"/>
          <w:sz w:val="22"/>
          <w:szCs w:val="22"/>
        </w:rPr>
        <w:t xml:space="preserve">National Assessment and Accreditation Council. (2019). Institutional accreditation: Manual for self-study report — Affiliated/constituent colleges. NAAC, Bengaluru.</w:t>
      </w:r>
    </w:p>
    <w:p>
      <w:pPr>
        <w:spacing w:after="130" w:line="280"/>
        <w:ind w:left="480" w:hanging="480"/>
        <w:jc w:val="left"/>
      </w:pPr>
      <w:r>
        <w:rPr>
          <w:rFonts w:ascii="Times New Roman" w:cs="Times New Roman" w:eastAsia="Times New Roman" w:hAnsi="Times New Roman"/>
          <w:color w:val="1A1A1A"/>
          <w:sz w:val="22"/>
          <w:szCs w:val="22"/>
        </w:rPr>
        <w:t xml:space="preserve">Sallis, E. (2002). Total quality management in education (3rd ed.). Kogan Page.</w:t>
      </w:r>
    </w:p>
    <w:p>
      <w:pPr>
        <w:spacing w:after="130" w:line="280"/>
        <w:ind w:left="480" w:hanging="480"/>
        <w:jc w:val="left"/>
      </w:pPr>
      <w:r>
        <w:rPr>
          <w:rFonts w:ascii="Times New Roman" w:cs="Times New Roman" w:eastAsia="Times New Roman" w:hAnsi="Times New Roman"/>
          <w:color w:val="1A1A1A"/>
          <w:sz w:val="22"/>
          <w:szCs w:val="22"/>
        </w:rPr>
        <w:t xml:space="preserve">Srikanthan, G., &amp; Dalrymple, J. F. (2002). Developing a holistic model for quality in higher education. Quality in Higher Education, 8(3), 215–224.</w:t>
      </w:r>
    </w:p>
    <w:p>
      <w:pPr>
        <w:spacing w:after="130" w:line="280"/>
        <w:ind w:left="480" w:hanging="480"/>
        <w:jc w:val="left"/>
      </w:pPr>
      <w:r>
        <w:rPr>
          <w:rFonts w:ascii="Times New Roman" w:cs="Times New Roman" w:eastAsia="Times New Roman" w:hAnsi="Times New Roman"/>
          <w:color w:val="1A1A1A"/>
          <w:sz w:val="22"/>
          <w:szCs w:val="22"/>
        </w:rPr>
        <w:t xml:space="preserve">Srikanthan, G., &amp; Dalrymple, J. F. (2007). A conceptual overview of a holistic model for quality in higher education. International Journal of Educational Management, 21(3), 173–193.</w:t>
      </w:r>
    </w:p>
    <w:p>
      <w:pPr>
        <w:spacing w:after="130" w:line="280"/>
        <w:ind w:left="480" w:hanging="480"/>
        <w:jc w:val="left"/>
      </w:pPr>
      <w:r>
        <w:rPr>
          <w:rFonts w:ascii="Times New Roman" w:cs="Times New Roman" w:eastAsia="Times New Roman" w:hAnsi="Times New Roman"/>
          <w:color w:val="1A1A1A"/>
          <w:sz w:val="22"/>
          <w:szCs w:val="22"/>
        </w:rPr>
        <w:t xml:space="preserve">Tarí, J. J. (2011). Research into quality management and social responsibility. Journal of Business Ethics, 102(4), 623–638.</w:t>
      </w:r>
    </w:p>
    <w:p>
      <w:pPr>
        <w:spacing w:after="130" w:line="280"/>
        <w:ind w:left="480" w:hanging="480"/>
        <w:jc w:val="left"/>
      </w:pPr>
      <w:r>
        <w:rPr>
          <w:rFonts w:ascii="Times New Roman" w:cs="Times New Roman" w:eastAsia="Times New Roman" w:hAnsi="Times New Roman"/>
          <w:color w:val="1A1A1A"/>
          <w:sz w:val="22"/>
          <w:szCs w:val="22"/>
        </w:rPr>
        <w:t xml:space="preserve">University Grants Commission. (2015). UGC quality mandate: Guidelines for internal quality assurance cells in higher education institutions. UGC, New Delhi.</w:t>
      </w:r>
    </w:p>
    <w:p>
      <w:pPr>
        <w:spacing w:after="130" w:line="280"/>
        <w:ind w:left="480" w:hanging="480"/>
        <w:jc w:val="left"/>
      </w:pPr>
      <w:r>
        <w:rPr>
          <w:rFonts w:ascii="Times New Roman" w:cs="Times New Roman" w:eastAsia="Times New Roman" w:hAnsi="Times New Roman"/>
          <w:color w:val="1A1A1A"/>
          <w:sz w:val="22"/>
          <w:szCs w:val="22"/>
        </w:rPr>
        <w:t xml:space="preserve">Venkatraman, S. (2007). A framework for implementing TQM in higher education programs. Quality Assurance in Education, 15(1), 92–112.</w:t>
      </w:r>
    </w:p>
    <w:sectPr>
      <w:headerReference w:type="default" r:id="rId7"/>
      <w:footerReference w:type="default" r:id="rId8"/>
      <w:pgSz w:w="11906" w:h="16838" w:orient="portrait"/>
      <w:pgMar w:top="1440" w:right="1440" w:bottom="1440" w:left="144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Times New Roman" w:cs="Times New Roman" w:eastAsia="Times New Roman" w:hAnsi="Times New Roman"/>
        <w:i/>
        <w:iCs/>
        <w:color w:val="555555"/>
        <w:sz w:val="14"/>
        <w:szCs w:val="14"/>
      </w:rPr>
      <w:t xml:space="preserve">Reimagining Teacher Training: Preparing Educators for 21st-Century Classrooms and Vikshit Bharat@2047</w:t>
    </w:r>
  </w:p>
  <w:p>
    <w:pPr>
      <w:jc w:val="center"/>
    </w:pPr>
    <w:r>
      <w:rPr>
        <w:rFonts w:ascii="Times New Roman" w:cs="Times New Roman" w:eastAsia="Times New Roman" w:hAnsi="Times New Roman"/>
        <w:color w:val="555555"/>
        <w:sz w:val="15"/>
        <w:szCs w:val="15"/>
      </w:rPr>
      <w:t xml:space="preserve">Page </w:t>
    </w:r>
    <w:r>
      <w:rPr>
        <w:rFonts w:ascii="Times New Roman" w:cs="Times New Roman" w:eastAsia="Times New Roman" w:hAnsi="Times New Roman"/>
        <w:color w:val="555555"/>
        <w:sz w:val="15"/>
        <w:szCs w:val="15"/>
      </w:rPr>
      <w:fldChar w:fldCharType="begin"/>
      <w:instrText xml:space="preserve">PAGE</w:instrText>
      <w:fldChar w:fldCharType="separate"/>
      <w:fldChar w:fldCharType="end"/>
    </w:r>
    <w:r>
      <w:rPr>
        <w:rFonts w:ascii="Times New Roman" w:cs="Times New Roman" w:eastAsia="Times New Roman" w:hAnsi="Times New Roman"/>
        <w:color w:val="555555"/>
        <w:sz w:val="15"/>
        <w:szCs w:val="15"/>
      </w:rPr>
      <w:t xml:space="preserve"> of </w:t>
    </w:r>
    <w:r>
      <w:rPr>
        <w:rFonts w:ascii="Times New Roman" w:cs="Times New Roman" w:eastAsia="Times New Roman" w:hAnsi="Times New Roman"/>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40"/>
      <w:jc w:val="center"/>
    </w:pPr>
    <w:r>
      <w:rPr>
        <w:rFonts w:ascii="Times New Roman" w:cs="Times New Roman" w:eastAsia="Times New Roman" w:hAnsi="Times New Roman"/>
        <w:color w:val="555555"/>
        <w:sz w:val="15"/>
        <w:szCs w:val="15"/>
      </w:rPr>
      <w:t xml:space="preserve">Baikuntha College of Education  ·  International Seminar 2026  ·  Full Paper  ·  28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2026-08-26T17:10:16.149Z</dcterms:created>
  <dcterms:modified xsi:type="dcterms:W3CDTF">2026-08-26T17:10:16.149Z</dcterms:modified>
</cp:coreProperties>
</file>

<file path=docProps/custom.xml><?xml version="1.0" encoding="utf-8"?>
<Properties xmlns="http://schemas.openxmlformats.org/officeDocument/2006/custom-properties" xmlns:vt="http://schemas.openxmlformats.org/officeDocument/2006/docPropsVTypes"/>
</file>