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color w:val="0D1B3E"/>
          <w:sz w:val="32"/>
          <w:szCs w:val="32"/>
        </w:rPr>
        <w:t xml:space="preserve">Teaching History for Value-Based Citizenship: Reimagining Pedagogical Approaches for 21st-Century Classrooms in the Vision of Viksit Bharat @2047</w:t>
      </w:r>
    </w:p>
    <w:p>
      <w:pPr>
        <w:spacing w:after="40"/>
        <w:jc w:val="center"/>
      </w:pPr>
      <w:r>
        <w:rPr>
          <w:rFonts w:ascii="Times New Roman" w:cs="Times New Roman" w:eastAsia="Times New Roman" w:hAnsi="Times New Roman"/>
          <w:b/>
          <w:bCs/>
          <w:color w:val="1A1A1A"/>
          <w:sz w:val="26"/>
          <w:szCs w:val="26"/>
        </w:rPr>
        <w:t xml:space="preserve">Dr. Parijat Dey</w:t>
      </w:r>
    </w:p>
    <w:p>
      <w:pPr>
        <w:spacing w:after="260"/>
        <w:jc w:val="center"/>
      </w:pPr>
      <w:r>
        <w:rPr>
          <w:rFonts w:ascii="Times New Roman" w:cs="Times New Roman" w:eastAsia="Times New Roman" w:hAnsi="Times New Roman"/>
          <w:i/>
          <w:iCs/>
          <w:color w:val="555555"/>
          <w:sz w:val="22"/>
          <w:szCs w:val="22"/>
        </w:rPr>
        <w:t xml:space="preserve">Department of History, Alipurduar B.Ed. Training College</w:t>
      </w:r>
    </w:p>
    <w:p>
      <w:pPr>
        <w:spacing w:after="80" w:before="100"/>
      </w:pPr>
      <w:r>
        <w:rPr>
          <w:rFonts w:ascii="Times New Roman" w:cs="Times New Roman" w:eastAsia="Times New Roman" w:hAnsi="Times New Roman"/>
          <w:b/>
          <w:bCs/>
          <w:color w:val="0D1B3E"/>
          <w:sz w:val="24"/>
          <w:szCs w:val="24"/>
        </w:rPr>
        <w:t xml:space="preserve">Abstract</w:t>
      </w:r>
    </w:p>
    <w:p>
      <w:pPr>
        <w:spacing w:after="160" w:line="300"/>
        <w:ind w:left="260" w:right="260"/>
        <w:jc w:val="both"/>
      </w:pPr>
      <w:r>
        <w:rPr>
          <w:rFonts w:ascii="Times New Roman" w:cs="Times New Roman" w:eastAsia="Times New Roman" w:hAnsi="Times New Roman"/>
          <w:i/>
          <w:iCs/>
          <w:color w:val="1A1A1A"/>
          <w:sz w:val="22"/>
          <w:szCs w:val="22"/>
        </w:rPr>
        <w:t xml:space="preserve">History teaching in Indian teacher-education institutions has long been associated with rote memorization of dates, dynasties, and disconnected facts, a practice that alienates learners from the discipline's deeper civic and intellectual purpose. This paper argues that history education must be reimagined as a pedagogy of value-based citizenship, capable of nurturing constitutional morality, national integration, and critical civic consciousness among learners preparing for the demands of Viksit Bharat @2047. Drawing on the National Education Policy 2020, NCERT curricular frameworks, and international scholarship on historical thinking, the paper contrasts traditional transmission-oriented approaches with inquiry-based, source-based, and interdisciplinary strategies. It examines pedagogical tools such as primary source analysis, project-based and oral history work, digital and multimedia resources, and structured debate, situating these within the Indian teacher-education context. The paper concludes that reimagining history pedagogy is not merely a methodological adjustment but an ethical imperative for preparing educators who can cultivate reflective, empathetic, and constitutionally grounded citizens for a developed and inclusive India by 2047.</w:t>
      </w:r>
    </w:p>
    <w:p>
      <w:pPr>
        <w:spacing w:after="220" w:line="300"/>
      </w:pPr>
      <w:r>
        <w:rPr>
          <w:rFonts w:ascii="Times New Roman" w:cs="Times New Roman" w:eastAsia="Times New Roman" w:hAnsi="Times New Roman"/>
          <w:b/>
          <w:bCs/>
          <w:i/>
          <w:iCs/>
          <w:color w:val="1A1A1A"/>
          <w:sz w:val="22"/>
          <w:szCs w:val="22"/>
        </w:rPr>
        <w:t xml:space="preserve">Keywords: </w:t>
      </w:r>
      <w:r>
        <w:rPr>
          <w:rFonts w:ascii="Times New Roman" w:cs="Times New Roman" w:eastAsia="Times New Roman" w:hAnsi="Times New Roman"/>
          <w:i/>
          <w:iCs/>
          <w:color w:val="1A1A1A"/>
          <w:sz w:val="22"/>
          <w:szCs w:val="22"/>
        </w:rPr>
        <w:t xml:space="preserve">history education, value-based citizenship, teacher training, historical thinking, NEP 2020, Viksit Bharat @2047</w:t>
      </w:r>
    </w:p>
    <w:p>
      <w:pPr>
        <w:spacing w:after="120" w:before="260"/>
      </w:pPr>
      <w:r>
        <w:rPr>
          <w:rFonts w:ascii="Times New Roman" w:cs="Times New Roman" w:eastAsia="Times New Roman" w:hAnsi="Times New Roman"/>
          <w:b/>
          <w:bCs/>
          <w:color w:val="0D1B3E"/>
          <w:sz w:val="26"/>
          <w:szCs w:val="26"/>
        </w:rPr>
        <w:t xml:space="preserve">1. Introduction</w:t>
      </w:r>
    </w:p>
    <w:p>
      <w:pPr>
        <w:spacing w:after="160" w:line="360"/>
        <w:ind w:firstLine="400"/>
        <w:jc w:val="both"/>
      </w:pPr>
      <w:r>
        <w:rPr>
          <w:rFonts w:ascii="Times New Roman" w:cs="Times New Roman" w:eastAsia="Times New Roman" w:hAnsi="Times New Roman"/>
          <w:color w:val="1A1A1A"/>
          <w:sz w:val="24"/>
          <w:szCs w:val="24"/>
        </w:rPr>
        <w:t xml:space="preserve">The teaching of history in Indian schools has historically occupied an ambivalent position within the curriculum. On one hand, it is entrusted with the weighty task of transmitting the nation's civilizational memory and instilling a sense of shared belonging among a vastly diverse citizenry; on the other, it is frequently reduced in classroom practice to an exercise in memorizing dates, dynastic lists, and battle outcomes, disconnected from any deeper interpretive or civic purpose. This reduction has produced generations of learners who can recite chronology but struggle to reason historically, to evaluate evidence, or to connect the past meaningfully to contemporary civic life. As India moves toward the centenary of its independence in 2047, articulated through the government's Viksit Bharat @2047 vision of a developed, self-reliant, and socially cohesive nation, the question of what kind of citizen the education system is preparing becomes urgent (Ministry of Education, 2020).</w:t>
      </w:r>
    </w:p>
    <w:p>
      <w:pPr>
        <w:spacing w:after="160" w:line="360"/>
        <w:ind w:firstLine="400"/>
        <w:jc w:val="both"/>
      </w:pPr>
      <w:r>
        <w:rPr>
          <w:rFonts w:ascii="Times New Roman" w:cs="Times New Roman" w:eastAsia="Times New Roman" w:hAnsi="Times New Roman"/>
          <w:color w:val="1A1A1A"/>
          <w:sz w:val="24"/>
          <w:szCs w:val="24"/>
        </w:rPr>
        <w:t xml:space="preserve">Teacher education occupies a pivotal position in this transformation, for it is the pedagogical orientation of the teacher, more than the content of the textbook, that determines whether history becomes an inert body of facts or a living discipline of inquiry and value formation. The National Education Policy (NEP) 2020 explicitly calls for a shift away from rote learning toward critical thinking, experiential learning, and competency-based education across all disciplines, and history, given its unique capacity to shape civic identity, stands as a particularly consequential site for this pedagogical reimagining (Ministry of Education, 2020). This paper contends that the teaching of history must be reoriented from a fact-transmission model toward an inquiry-based, source-critical, and value-conscious pedagogy that equips learners not merely with historical knowledge but with the dispositions of reflective, constitutionally grounded citizenship.</w:t>
      </w:r>
    </w:p>
    <w:p>
      <w:pPr>
        <w:spacing w:after="160" w:line="360"/>
        <w:ind w:firstLine="400"/>
        <w:jc w:val="both"/>
      </w:pPr>
      <w:r>
        <w:rPr>
          <w:rFonts w:ascii="Times New Roman" w:cs="Times New Roman" w:eastAsia="Times New Roman" w:hAnsi="Times New Roman"/>
          <w:color w:val="1A1A1A"/>
          <w:sz w:val="24"/>
          <w:szCs w:val="24"/>
        </w:rPr>
        <w:t xml:space="preserve">The argument proceeds in several stages. First, it situates the discussion within existing scholarship on historical thinking and citizenship education, both international and Indian. Second, it articulates the objectives that guide the present inquiry. Third, it contrasts traditional and reimagined approaches to history pedagogy, drawing out the pedagogical and civic costs of rote instruction. Fourth, it examines the specific relationship between history education and value-based citizenship, situating this relationship within the Viksit Bharat @2047 framework. Fifth, it surveys a range of pedagogical strategies suited to 21st-century classrooms, organized around primary sources, inquiry and project work, digital resources, oral and local history, debate, and interdisciplinary connections. The paper closes with a discussion of the challenges facing implementation in teacher-education institutions and a set of concluding reflections.</w:t>
      </w:r>
    </w:p>
    <w:p>
      <w:pPr>
        <w:spacing w:after="120" w:before="260"/>
      </w:pPr>
      <w:r>
        <w:rPr>
          <w:rFonts w:ascii="Times New Roman" w:cs="Times New Roman" w:eastAsia="Times New Roman" w:hAnsi="Times New Roman"/>
          <w:b/>
          <w:bCs/>
          <w:color w:val="0D1B3E"/>
          <w:sz w:val="26"/>
          <w:szCs w:val="26"/>
        </w:rPr>
        <w:t xml:space="preserve">2. Review of Related Literature</w:t>
      </w:r>
    </w:p>
    <w:p>
      <w:pPr>
        <w:spacing w:after="160" w:line="360"/>
        <w:ind w:firstLine="400"/>
        <w:jc w:val="both"/>
      </w:pPr>
      <w:r>
        <w:rPr>
          <w:rFonts w:ascii="Times New Roman" w:cs="Times New Roman" w:eastAsia="Times New Roman" w:hAnsi="Times New Roman"/>
          <w:color w:val="1A1A1A"/>
          <w:sz w:val="24"/>
          <w:szCs w:val="24"/>
        </w:rPr>
        <w:t xml:space="preserve">The theoretical foundation for reimagining history pedagogy rests substantially on the international literature concerning historical thinking. Seixas and Morton (2013), in their influential formulation of the "big six" historical thinking concepts, argue that historical literacy is not the accumulation of facts but the capacity to establish historical significance, use primary source evidence, identify continuity and change, analyze cause and consequence, take historical perspectives, and understand the ethical dimensions of historical interpretation. This framework has reshaped history curricula in several jurisdictions by insisting that students engage with history as an interpretive discipline rather than a settled record. Complementing this, Wineburg's (2001) research on historical cognition demonstrates that expert historical reasoning involves sourcing, contextualizing, and corroborating evidence, skills that are rarely cultivated when textbooks are treated as unquestionable authorities. Wineburg's broader argument, that history education should cultivate "historical thinking" as a distinct and demanding cognitive skill rather than a matter of memorization, provides a strong warrant for the pedagogical shift this paper advocates.</w:t>
      </w:r>
    </w:p>
    <w:p>
      <w:pPr>
        <w:spacing w:after="160" w:line="360"/>
        <w:ind w:firstLine="400"/>
        <w:jc w:val="both"/>
      </w:pPr>
      <w:r>
        <w:rPr>
          <w:rFonts w:ascii="Times New Roman" w:cs="Times New Roman" w:eastAsia="Times New Roman" w:hAnsi="Times New Roman"/>
          <w:color w:val="1A1A1A"/>
          <w:sz w:val="24"/>
          <w:szCs w:val="24"/>
        </w:rPr>
        <w:t xml:space="preserve">Within the Indian context, Krishna Kumar's extensive body of work on the political and pedagogical culture of Indian schooling offers a crucial counterpoint. Kumar (2005) has argued that Indian education has historically privileged docility and rote reproduction over critical engagement, a tendency that is particularly consequential in history teaching, where textbooks have often been sites of contested national narratives rather than platforms for inquiry. His analysis suggests that the pedagogy of history in India cannot be separated from the broader political economy of curriculum-making, and that reimagining classroom practice requires attention to the structural conditions, teacher training, assessment design, and institutional culture, that sustain rote learning. Romila Thapar's (2000) reflections on the practice and uses of history in India further illuminate this concern, cautioning against the reduction of historiography to a single authorized narrative and emphasizing the discipline's inherent plurality of interpretation, its reliance on evidence, and its capacity to foster critical awareness of how the past is constructed and contested.</w:t>
      </w:r>
    </w:p>
    <w:p>
      <w:pPr>
        <w:spacing w:after="160" w:line="360"/>
        <w:ind w:firstLine="400"/>
        <w:jc w:val="both"/>
      </w:pPr>
      <w:r>
        <w:rPr>
          <w:rFonts w:ascii="Times New Roman" w:cs="Times New Roman" w:eastAsia="Times New Roman" w:hAnsi="Times New Roman"/>
          <w:color w:val="1A1A1A"/>
          <w:sz w:val="24"/>
          <w:szCs w:val="24"/>
        </w:rPr>
        <w:t xml:space="preserve">The link between history education and citizenship formation has also received sustained attention from international bodies. UNESCO's work on global citizenship education and on heritage education emphasizes that history and heritage learning, when taught through participatory and inquiry-oriented methods, can cultivate intercultural understanding, respect for diversity, and active civic engagement (UNESCO, 2015). This body of work situates history teaching within a broader project of education for peace, human rights, and sustainable development, resonant with the constitutional values that Indian civic education is meant to inculcate. At the national policy level, the National Education Policy 2020 (Ministry of Education, 2020) and NCERT's National Curriculum Framework documents call for competency-based, experiential, and inquiry-driven pedagogy across the curriculum, explicitly naming critical thinking, constitutional values, and rootedness in Indian ethos among the desired outcomes of schooling (NCERT, 2005). The National Council for Teacher Education's (2014) framework for teacher preparation similarly emphasizes that teacher educators must move beyond content delivery toward reflective, learner-centered pedagogy if these policy aspirations are to be realized in classrooms. Taken together, this literature establishes both the theoretical rationale and the policy mandate for the pedagogical reimagining this paper undertakes, while also underscoring that Indian teacher education must translate these frameworks into concrete classroom strategies suited to the discipline of history specifically.</w:t>
      </w:r>
    </w:p>
    <w:p>
      <w:pPr>
        <w:spacing w:after="120" w:before="260"/>
      </w:pPr>
      <w:r>
        <w:rPr>
          <w:rFonts w:ascii="Times New Roman" w:cs="Times New Roman" w:eastAsia="Times New Roman" w:hAnsi="Times New Roman"/>
          <w:b/>
          <w:bCs/>
          <w:color w:val="0D1B3E"/>
          <w:sz w:val="26"/>
          <w:szCs w:val="26"/>
        </w:rPr>
        <w:t xml:space="preserve">3. Objectives of the Study</w:t>
      </w:r>
    </w:p>
    <w:p>
      <w:pPr>
        <w:spacing w:after="160" w:line="360"/>
        <w:ind w:firstLine="400"/>
        <w:jc w:val="both"/>
      </w:pPr>
      <w:r>
        <w:rPr>
          <w:rFonts w:ascii="Times New Roman" w:cs="Times New Roman" w:eastAsia="Times New Roman" w:hAnsi="Times New Roman"/>
          <w:color w:val="1A1A1A"/>
          <w:sz w:val="24"/>
          <w:szCs w:val="24"/>
        </w:rPr>
        <w:t xml:space="preserve">This paper is guided by the following objectives: first, to critically examine the limitations of traditional, memorization-centered approaches to history teaching and to articulate the pedagogical rationale for inquiry-based and source-based alternatives; second, to explore the theoretical and practical relationship between history education and the formation of value-based, constitutionally grounded citizenship; third, to identify and elaborate a range of pedagogical strategies, including primary source analysis, project-based learning, digital and multimedia integration, oral and local history projects, debate and discussion, and interdisciplinary teaching, suited to 21st-century history classrooms; fourth, to situate these pedagogical reforms within the policy vision of NEP 2020 and Viksit Bharat @2047; and fifth, to identify the principal challenges facing teacher-education institutions in implementing this reimagined pedagogy and to propose a way forward.</w:t>
      </w:r>
    </w:p>
    <w:p>
      <w:pPr>
        <w:spacing w:after="120" w:before="260"/>
      </w:pPr>
      <w:r>
        <w:rPr>
          <w:rFonts w:ascii="Times New Roman" w:cs="Times New Roman" w:eastAsia="Times New Roman" w:hAnsi="Times New Roman"/>
          <w:b/>
          <w:bCs/>
          <w:color w:val="0D1B3E"/>
          <w:sz w:val="26"/>
          <w:szCs w:val="26"/>
        </w:rPr>
        <w:t xml:space="preserve">4. Traditional vs. Reimagined Approaches to Teaching History</w:t>
      </w:r>
    </w:p>
    <w:p>
      <w:pPr>
        <w:spacing w:after="160" w:line="360"/>
        <w:ind w:firstLine="400"/>
        <w:jc w:val="both"/>
      </w:pPr>
      <w:r>
        <w:rPr>
          <w:rFonts w:ascii="Times New Roman" w:cs="Times New Roman" w:eastAsia="Times New Roman" w:hAnsi="Times New Roman"/>
          <w:color w:val="1A1A1A"/>
          <w:sz w:val="24"/>
          <w:szCs w:val="24"/>
        </w:rPr>
        <w:t xml:space="preserve">The traditional model of history instruction, still widely prevalent in Indian schools and, by extension, reproduced in the practicum experiences of trainee teachers, is organized around the transmission of a fixed body of content: names of rulers, dates of battles, sequences of dynasties, and lists of causes and consequences presented as settled fact. Assessment in this model typically rewards accurate recall over interpretive reasoning, and the textbook functions as an unquestionable authority rather than as one narrated account among several possible ones. The pedagogical consequence of this model is what might be called historical passivity: learners come to regard history as a closed subject, already known and merely to be remembered, rather than as an active process of inquiry into how knowledge of the past is constructed, contested, and revised in light of evidence. This orientation is compounded by examination systems that privilege short-answer recall, further entrenching rote learning as a rational strategy for students seeking to perform well rather than to understand deeply.</w:t>
      </w:r>
    </w:p>
    <w:p>
      <w:pPr>
        <w:spacing w:after="160" w:line="360"/>
        <w:ind w:firstLine="400"/>
        <w:jc w:val="both"/>
      </w:pPr>
      <w:r>
        <w:rPr>
          <w:rFonts w:ascii="Times New Roman" w:cs="Times New Roman" w:eastAsia="Times New Roman" w:hAnsi="Times New Roman"/>
          <w:color w:val="1A1A1A"/>
          <w:sz w:val="24"/>
          <w:szCs w:val="24"/>
        </w:rPr>
        <w:t xml:space="preserve">Such a model carries significant costs. Pedagogically, it fails to develop the evidentiary reasoning, source evaluation, and perspective-taking skills that scholars such as Wineburg (2001) and Seixas and Morton (2013) identify as central to genuine historical understanding. Civically, it produces citizens who may possess a store of historical information without the capacity to critically evaluate competing historical claims, including the politically motivated distortions of the past that circulate widely in public discourse and social media. Kumar's (2005) critique of Indian schooling is instructive here: a pedagogy oriented toward docile reproduction does not merely fail to teach history well, it actively discourages the habits of questioning and evidence-based reasoning that a democratic citizenry requires.</w:t>
      </w:r>
    </w:p>
    <w:p>
      <w:pPr>
        <w:spacing w:after="160" w:line="360"/>
        <w:ind w:firstLine="400"/>
        <w:jc w:val="both"/>
      </w:pPr>
      <w:r>
        <w:rPr>
          <w:rFonts w:ascii="Times New Roman" w:cs="Times New Roman" w:eastAsia="Times New Roman" w:hAnsi="Times New Roman"/>
          <w:color w:val="1A1A1A"/>
          <w:sz w:val="24"/>
          <w:szCs w:val="24"/>
        </w:rPr>
        <w:t xml:space="preserve">A reimagined approach to history teaching, by contrast, treats history as an interpretive and evidentiary discipline. Rather than presenting historical knowledge as a finished product, this approach positions students as active investigators who engage with primary sources, weigh conflicting accounts, and construct reasoned interpretations of the past. This shift does not entail the abandonment of chronological and factual knowledge, which remains a necessary scaffold for historical reasoning, but rather recontextualizes such knowledge as a foundation for inquiry rather than an end in itself. The NCERT's curricular frameworks have gestured toward this shift over successive revisions, emphasizing activity-based learning and the development of historical skills alongside content knowledge (NCERT, 2005), and NEP 2020 provides fresh policy momentum for this reorientation by calling for competency-based, experiential pedagogy across the school curriculum (Ministry of Education, 2020). The task before teacher-education institutions is to translate this policy aspiration into concrete classroom practice, equipping prospective history teachers with the pedagogical repertoire, and the disciplinary confidence, to move beyond the textbook-and-recitation model toward genuine historical inquiry.</w:t>
      </w:r>
    </w:p>
    <w:p>
      <w:pPr>
        <w:spacing w:after="120" w:before="260"/>
      </w:pPr>
      <w:r>
        <w:rPr>
          <w:rFonts w:ascii="Times New Roman" w:cs="Times New Roman" w:eastAsia="Times New Roman" w:hAnsi="Times New Roman"/>
          <w:b/>
          <w:bCs/>
          <w:color w:val="0D1B3E"/>
          <w:sz w:val="26"/>
          <w:szCs w:val="26"/>
        </w:rPr>
        <w:t xml:space="preserve">5. History Education and Value-Based Citizenship</w:t>
      </w:r>
    </w:p>
    <w:p>
      <w:pPr>
        <w:spacing w:after="160" w:line="360"/>
        <w:ind w:firstLine="400"/>
        <w:jc w:val="both"/>
      </w:pPr>
      <w:r>
        <w:rPr>
          <w:rFonts w:ascii="Times New Roman" w:cs="Times New Roman" w:eastAsia="Times New Roman" w:hAnsi="Times New Roman"/>
          <w:color w:val="1A1A1A"/>
          <w:sz w:val="24"/>
          <w:szCs w:val="24"/>
        </w:rPr>
        <w:t xml:space="preserve">The relationship between history education and citizenship formation is neither incidental nor merely rhetorical; it is constitutive of the discipline's civic function within a democratic society. History, properly taught, offers learners the intellectual resources to understand how present institutions, identities, and social arrangements came into being, and thereby to engage critically and constructively with contemporary civic life. In the Indian context, this civic function carries particular weight given the country's constitutional commitment to unity in diversity, secularism, and social justice, values that require active cultivation rather than passive assumption in a society marked by considerable linguistic, religious, regional, and social plurality.</w:t>
      </w:r>
    </w:p>
    <w:p>
      <w:pPr>
        <w:spacing w:after="160" w:line="360"/>
        <w:ind w:firstLine="400"/>
        <w:jc w:val="both"/>
      </w:pPr>
      <w:r>
        <w:rPr>
          <w:rFonts w:ascii="Times New Roman" w:cs="Times New Roman" w:eastAsia="Times New Roman" w:hAnsi="Times New Roman"/>
          <w:color w:val="1A1A1A"/>
          <w:sz w:val="24"/>
          <w:szCs w:val="24"/>
        </w:rPr>
        <w:t xml:space="preserve">Value-based citizenship, as understood in this paper, refers to a disposition toward civic life grounded in constitutional morality, respect for pluralism, empathy across social difference, and a capacity for reasoned, evidence-based judgment on public matters. History education can cultivate each of these dispositions when taught appropriately. Constitutional morality, the internalized commitment to the values and procedures enshrined in the Indian Constitution, is fostered when students study the historical struggles, debates, and compromises through which constitutional values such as equality, liberty, and fraternity were articulated and contested, rather than treating these values as abstract slogans divorced from historical process. National integration, similarly, is better served by a history pedagogy that helps learners understand the plural and composite character of Indian civilization, its regional diversities, its histories of exchange and syncretism, and its shared struggles, such as the freedom movement, than by a pedagogy that flattens this complexity into a single triumphalist narrative. Thapar's (2000) insistence on historiographical plurality is instructive here: a nuanced, evidence-based engagement with India's plural pasts is more likely to cultivate genuine national cohesion than a simplified or selectively curated narrative, precisely because it teaches students to hold complexity and difference without recourse to distortion or exclusion.</w:t>
      </w:r>
    </w:p>
    <w:p>
      <w:pPr>
        <w:spacing w:after="160" w:line="360"/>
        <w:ind w:firstLine="400"/>
        <w:jc w:val="both"/>
      </w:pPr>
      <w:r>
        <w:rPr>
          <w:rFonts w:ascii="Times New Roman" w:cs="Times New Roman" w:eastAsia="Times New Roman" w:hAnsi="Times New Roman"/>
          <w:color w:val="1A1A1A"/>
          <w:sz w:val="24"/>
          <w:szCs w:val="24"/>
        </w:rPr>
        <w:t xml:space="preserve">Critical civic consciousness, the capacity to interrogate public narratives, evaluate evidence, and resist manipulation, whether by political propaganda, communal mobilization, or misinformation, is arguably history education's most urgent contemporary contribution to citizenship. In an information environment saturated with contested and often fabricated historical claims circulated for political ends, the ability to ask who produced a given account of the past, on what evidence, and for what purpose, is not merely an academic skill but a civic necessity. UNESCO's (2015) framing of global citizenship education similarly emphasizes that education must cultivate the critical literacies necessary for learners to navigate a complex, interconnected, and often contested public sphere, an emphasis directly applicable to history teaching in India.</w:t>
      </w:r>
    </w:p>
    <w:p>
      <w:pPr>
        <w:spacing w:after="160" w:line="360"/>
        <w:ind w:firstLine="400"/>
        <w:jc w:val="both"/>
      </w:pPr>
      <w:r>
        <w:rPr>
          <w:rFonts w:ascii="Times New Roman" w:cs="Times New Roman" w:eastAsia="Times New Roman" w:hAnsi="Times New Roman"/>
          <w:color w:val="1A1A1A"/>
          <w:sz w:val="24"/>
          <w:szCs w:val="24"/>
        </w:rPr>
        <w:t xml:space="preserve">This civic function of history education aligns closely with the aspirations articulated in the Viksit Bharat @2047 vision, which frames India's development not merely in economic terms but as encompassing social cohesion, inclusive growth, and the strengthening of democratic institutions and civic culture. A developed India by the centenary of independence requires citizens capable of participating meaningfully in democratic processes, of engaging constructively across social and ideological difference, and of holding institutions accountable through informed civic judgment. History education, reimagined along the inquiry-based and value-conscious lines argued for in this paper, is well positioned to contribute to this civic infrastructure, provided that teacher-education institutions equip prospective teachers with both the disciplinary understanding and the pedagogical skill to realize this potential in the classroom.</w:t>
      </w:r>
    </w:p>
    <w:p>
      <w:pPr>
        <w:spacing w:after="120" w:before="260"/>
      </w:pPr>
      <w:r>
        <w:rPr>
          <w:rFonts w:ascii="Times New Roman" w:cs="Times New Roman" w:eastAsia="Times New Roman" w:hAnsi="Times New Roman"/>
          <w:b/>
          <w:bCs/>
          <w:color w:val="0D1B3E"/>
          <w:sz w:val="26"/>
          <w:szCs w:val="26"/>
        </w:rPr>
        <w:t xml:space="preserve">6. Pedagogical Strategies for 21st-Century History Classrooms</w:t>
      </w:r>
    </w:p>
    <w:p>
      <w:pPr>
        <w:spacing w:after="90" w:before="160"/>
      </w:pPr>
      <w:r>
        <w:rPr>
          <w:rFonts w:ascii="Times New Roman" w:cs="Times New Roman" w:eastAsia="Times New Roman" w:hAnsi="Times New Roman"/>
          <w:b/>
          <w:bCs/>
          <w:i/>
          <w:iCs/>
          <w:color w:val="9C7620"/>
          <w:sz w:val="24"/>
          <w:szCs w:val="24"/>
        </w:rPr>
        <w:t xml:space="preserve">6.1 Use of Primary Sources</w:t>
      </w:r>
    </w:p>
    <w:p>
      <w:pPr>
        <w:spacing w:after="160" w:line="360"/>
        <w:ind w:firstLine="400"/>
        <w:jc w:val="both"/>
      </w:pPr>
      <w:r>
        <w:rPr>
          <w:rFonts w:ascii="Times New Roman" w:cs="Times New Roman" w:eastAsia="Times New Roman" w:hAnsi="Times New Roman"/>
          <w:color w:val="1A1A1A"/>
          <w:sz w:val="24"/>
          <w:szCs w:val="24"/>
        </w:rPr>
        <w:t xml:space="preserve">The introduction of primary sources, official documents, letters, speeches, photographs, artifacts, newspaper reports, and oral testimonies, into classroom practice is foundational to reimagined history pedagogy. Rather than presenting historical conclusions ready-made, teachers can present students with fragments of evidence and guide them through the process of sourcing (asking who produced the document and why), contextualizing (situating it within its historical moment), and corroborating (comparing it against other evidence), the very practices Wineburg (2001) identifies as central to expert historical reasoning. In the Indian context, this might involve engaging students with excerpts from the Constituent Assembly Debates, regional archival material, or vernacular newspapers of the freedom struggle, allowing learners to encounter the plurality of voices and perspectives that shaped India's historical trajectory rather than receiving a single synthesized account.</w:t>
      </w:r>
    </w:p>
    <w:p>
      <w:pPr>
        <w:spacing w:after="90" w:before="160"/>
      </w:pPr>
      <w:r>
        <w:rPr>
          <w:rFonts w:ascii="Times New Roman" w:cs="Times New Roman" w:eastAsia="Times New Roman" w:hAnsi="Times New Roman"/>
          <w:b/>
          <w:bCs/>
          <w:i/>
          <w:iCs/>
          <w:color w:val="9C7620"/>
          <w:sz w:val="24"/>
          <w:szCs w:val="24"/>
        </w:rPr>
        <w:t xml:space="preserve">6.2 Project-Based and Inquiry-Based Learning</w:t>
      </w:r>
    </w:p>
    <w:p>
      <w:pPr>
        <w:spacing w:after="160" w:line="360"/>
        <w:ind w:firstLine="400"/>
        <w:jc w:val="both"/>
      </w:pPr>
      <w:r>
        <w:rPr>
          <w:rFonts w:ascii="Times New Roman" w:cs="Times New Roman" w:eastAsia="Times New Roman" w:hAnsi="Times New Roman"/>
          <w:color w:val="1A1A1A"/>
          <w:sz w:val="24"/>
          <w:szCs w:val="24"/>
        </w:rPr>
        <w:t xml:space="preserve">Project-based and inquiry-based learning reorganizes the classroom around sustained investigation of open historical questions rather than coverage of a fixed syllabus. Students might, for instance, investigate the social and economic causes of a regional peasant movement, or trace the evolution of a particular constitutional provision through historical debate, presenting their findings through research reports, exhibitions, or presentations. Such approaches align directly with NEP 2020's emphasis on experiential and competency-based learning (Ministry of Education, 2020) and cultivate the historical thinking concepts, significance, evidence, cause and consequence, that Seixas and Morton (2013) identify as central to disciplinary literacy, while also developing transferable skills of research, collaboration, and communication valued in 21st-century civic and professional life.</w:t>
      </w:r>
    </w:p>
    <w:p>
      <w:pPr>
        <w:spacing w:after="90" w:before="160"/>
      </w:pPr>
      <w:r>
        <w:rPr>
          <w:rFonts w:ascii="Times New Roman" w:cs="Times New Roman" w:eastAsia="Times New Roman" w:hAnsi="Times New Roman"/>
          <w:b/>
          <w:bCs/>
          <w:i/>
          <w:iCs/>
          <w:color w:val="9C7620"/>
          <w:sz w:val="24"/>
          <w:szCs w:val="24"/>
        </w:rPr>
        <w:t xml:space="preserve">6.3 Digital and Multimedia Resources</w:t>
      </w:r>
    </w:p>
    <w:p>
      <w:pPr>
        <w:spacing w:after="160" w:line="360"/>
        <w:ind w:firstLine="400"/>
        <w:jc w:val="both"/>
      </w:pPr>
      <w:r>
        <w:rPr>
          <w:rFonts w:ascii="Times New Roman" w:cs="Times New Roman" w:eastAsia="Times New Roman" w:hAnsi="Times New Roman"/>
          <w:color w:val="1A1A1A"/>
          <w:sz w:val="24"/>
          <w:szCs w:val="24"/>
        </w:rPr>
        <w:t xml:space="preserve">Digital archives, documentary films, podcasts, virtual museum tours, and interactive timelines offer trainee and practicing teachers powerful tools for making history vivid, accessible, and analytically rich. Digitized newspaper archives and government document repositories allow students to engage directly with primary material that would otherwise be physically inaccessible, while multimedia resources can illuminate the sensory and experiential dimensions of historical events in ways that textbook prose cannot. Teacher-education programs must, however, accompany the introduction of digital tools with explicit instruction in digital source evaluation, since the same technologies that democratize access to historical evidence also facilitate the rapid circulation of historical misinformation, a concern directly relevant to the cultivation of critical civic consciousness discussed above.</w:t>
      </w:r>
    </w:p>
    <w:p>
      <w:pPr>
        <w:spacing w:after="90" w:before="160"/>
      </w:pPr>
      <w:r>
        <w:rPr>
          <w:rFonts w:ascii="Times New Roman" w:cs="Times New Roman" w:eastAsia="Times New Roman" w:hAnsi="Times New Roman"/>
          <w:b/>
          <w:bCs/>
          <w:i/>
          <w:iCs/>
          <w:color w:val="9C7620"/>
          <w:sz w:val="24"/>
          <w:szCs w:val="24"/>
        </w:rPr>
        <w:t xml:space="preserve">6.4 Local and Oral History Projects</w:t>
      </w:r>
    </w:p>
    <w:p>
      <w:pPr>
        <w:spacing w:after="160" w:line="360"/>
        <w:ind w:firstLine="400"/>
        <w:jc w:val="both"/>
      </w:pPr>
      <w:r>
        <w:rPr>
          <w:rFonts w:ascii="Times New Roman" w:cs="Times New Roman" w:eastAsia="Times New Roman" w:hAnsi="Times New Roman"/>
          <w:color w:val="1A1A1A"/>
          <w:sz w:val="24"/>
          <w:szCs w:val="24"/>
        </w:rPr>
        <w:t xml:space="preserve">Local and oral history projects, in which students interview elders, document community histories, or research the local heritage of their own region, offer a particularly powerful means of connecting historical inquiry to lived experience. Such projects make the abstract methodological principles of historical evidence and interpretation concrete and personally meaningful, while also cultivating empathy and intergenerational dialogue. They further serve the goal of national integration by helping students recognize their own regional and community histories as integral threads within the larger national narrative, reinforcing Thapar's (2000) emphasis on the plural, composite character of Indian history, and by grounding abstract civic values in tangible, locally rooted historical understanding.</w:t>
      </w:r>
    </w:p>
    <w:p>
      <w:pPr>
        <w:spacing w:after="90" w:before="160"/>
      </w:pPr>
      <w:r>
        <w:rPr>
          <w:rFonts w:ascii="Times New Roman" w:cs="Times New Roman" w:eastAsia="Times New Roman" w:hAnsi="Times New Roman"/>
          <w:b/>
          <w:bCs/>
          <w:i/>
          <w:iCs/>
          <w:color w:val="9C7620"/>
          <w:sz w:val="24"/>
          <w:szCs w:val="24"/>
        </w:rPr>
        <w:t xml:space="preserve">6.5 Debate and Discussion Methods</w:t>
      </w:r>
    </w:p>
    <w:p>
      <w:pPr>
        <w:spacing w:after="160" w:line="360"/>
        <w:ind w:firstLine="400"/>
        <w:jc w:val="both"/>
      </w:pPr>
      <w:r>
        <w:rPr>
          <w:rFonts w:ascii="Times New Roman" w:cs="Times New Roman" w:eastAsia="Times New Roman" w:hAnsi="Times New Roman"/>
          <w:color w:val="1A1A1A"/>
          <w:sz w:val="24"/>
          <w:szCs w:val="24"/>
        </w:rPr>
        <w:t xml:space="preserve">Structured debate and discussion, organized around genuinely contested historical questions, provide a direct pedagogical mechanism for cultivating the perspective-taking and reasoned argumentation central to democratic citizenship. When students are asked to argue multiple sides of a historical controversy using evidence, they practice the very civic skills of reasoned public deliberation that a healthy democracy requires. Careful facilitation is essential here: teachers must distinguish between legitimate historiographical debate, grounded in evidence and scholarly method, and the introduction of unfounded or politically motivated claims, ensuring that classroom debate models responsible, evidence-based public discourse rather than uncritical partisanship.</w:t>
      </w:r>
    </w:p>
    <w:p>
      <w:pPr>
        <w:spacing w:after="90" w:before="160"/>
      </w:pPr>
      <w:r>
        <w:rPr>
          <w:rFonts w:ascii="Times New Roman" w:cs="Times New Roman" w:eastAsia="Times New Roman" w:hAnsi="Times New Roman"/>
          <w:b/>
          <w:bCs/>
          <w:i/>
          <w:iCs/>
          <w:color w:val="9C7620"/>
          <w:sz w:val="24"/>
          <w:szCs w:val="24"/>
        </w:rPr>
        <w:t xml:space="preserve">6.6 Interdisciplinary Connections</w:t>
      </w:r>
    </w:p>
    <w:p>
      <w:pPr>
        <w:spacing w:after="160" w:line="360"/>
        <w:ind w:firstLine="400"/>
        <w:jc w:val="both"/>
      </w:pPr>
      <w:r>
        <w:rPr>
          <w:rFonts w:ascii="Times New Roman" w:cs="Times New Roman" w:eastAsia="Times New Roman" w:hAnsi="Times New Roman"/>
          <w:color w:val="1A1A1A"/>
          <w:sz w:val="24"/>
          <w:szCs w:val="24"/>
        </w:rPr>
        <w:t xml:space="preserve">Finally, history teaching in the 21st century benefits substantially from deliberate interdisciplinary connection, linking historical inquiry to geography, economics, political science, literature, and the arts. Understanding a historical famine, for instance, benefits from geographic and economic analysis alongside historical narrative; understanding a social reform movement benefits from engagement with contemporaneous literature and art. Such interdisciplinary framing mirrors NEP 2020's broader emphasis on holistic and multidisciplinary education (Ministry of Education, 2020) and helps students appreciate history not as an isolated subject but as a lens through which the complexity of human society can be understood, directly supporting the kind of integrated civic reasoning that value-based citizenship requires.</w:t>
      </w:r>
    </w:p>
    <w:p>
      <w:pPr>
        <w:spacing w:after="120" w:before="260"/>
      </w:pPr>
      <w:r>
        <w:rPr>
          <w:rFonts w:ascii="Times New Roman" w:cs="Times New Roman" w:eastAsia="Times New Roman" w:hAnsi="Times New Roman"/>
          <w:b/>
          <w:bCs/>
          <w:color w:val="0D1B3E"/>
          <w:sz w:val="26"/>
          <w:szCs w:val="26"/>
        </w:rPr>
        <w:t xml:space="preserve">7. Discussion: Challenges and Way Forward</w:t>
      </w:r>
    </w:p>
    <w:p>
      <w:pPr>
        <w:spacing w:after="160" w:line="360"/>
        <w:ind w:firstLine="400"/>
        <w:jc w:val="both"/>
      </w:pPr>
      <w:r>
        <w:rPr>
          <w:rFonts w:ascii="Times New Roman" w:cs="Times New Roman" w:eastAsia="Times New Roman" w:hAnsi="Times New Roman"/>
          <w:color w:val="1A1A1A"/>
          <w:sz w:val="24"/>
          <w:szCs w:val="24"/>
        </w:rPr>
        <w:t xml:space="preserve">Despite the evident pedagogical and civic rationale for reimagining history teaching, implementation within Indian teacher-education institutions faces substantial challenges. Foremost among these is the persistence of examination systems that continue to reward factual recall over interpretive reasoning; so long as board and university examinations privilege memorization, both practicing and trainee teachers face structural disincentives to invest in inquiry-based pedagogy, however pedagogically sound. Addressing this requires coordinated reform of assessment design alongside pedagogical reform, a recognition reflected in NEP 2020's own call for assessment reform accompanying curricular change (Ministry of Education, 2020).</w:t>
      </w:r>
    </w:p>
    <w:p>
      <w:pPr>
        <w:spacing w:after="160" w:line="360"/>
        <w:ind w:firstLine="400"/>
        <w:jc w:val="both"/>
      </w:pPr>
      <w:r>
        <w:rPr>
          <w:rFonts w:ascii="Times New Roman" w:cs="Times New Roman" w:eastAsia="Times New Roman" w:hAnsi="Times New Roman"/>
          <w:color w:val="1A1A1A"/>
          <w:sz w:val="24"/>
          <w:szCs w:val="24"/>
        </w:rPr>
        <w:t xml:space="preserve">A second challenge concerns teacher preparation itself. Many B.Ed. programs, constrained by time, resources, and inherited pedagogical habits, continue to model the very transmission-oriented teaching they are meant to help trainees move beyond. The National Council for Teacher Education's (2014) framework for teacher education rightly emphasizes reflective, practice-based preparation, but translating this into the specific disciplinary pedagogy of history requires dedicated attention within methods courses, sustained practicum engagement with inquiry-based lesson design, and mentorship from teacher educators themselves versed in historical thinking pedagogy rather than content delivery alone.</w:t>
      </w:r>
    </w:p>
    <w:p>
      <w:pPr>
        <w:spacing w:after="160" w:line="360"/>
        <w:ind w:firstLine="400"/>
        <w:jc w:val="both"/>
      </w:pPr>
      <w:r>
        <w:rPr>
          <w:rFonts w:ascii="Times New Roman" w:cs="Times New Roman" w:eastAsia="Times New Roman" w:hAnsi="Times New Roman"/>
          <w:color w:val="1A1A1A"/>
          <w:sz w:val="24"/>
          <w:szCs w:val="24"/>
        </w:rPr>
        <w:t xml:space="preserve">A third challenge is resource disparity. Primary source archives, digital infrastructure, and multimedia tools are unevenly distributed across urban and rural, and well-funded and under-resourced, institutions, raising concerns about equitable access to reimagined pedagogy. Local and oral history projects offer a partial answer here, since they require comparatively modest infrastructure while still delivering substantial pedagogical benefit, and teacher-education institutions might usefully prioritize such low-cost, high-impact strategies where digital infrastructure remains limited.</w:t>
      </w:r>
    </w:p>
    <w:p>
      <w:pPr>
        <w:spacing w:after="160" w:line="360"/>
        <w:ind w:firstLine="400"/>
        <w:jc w:val="both"/>
      </w:pPr>
      <w:r>
        <w:rPr>
          <w:rFonts w:ascii="Times New Roman" w:cs="Times New Roman" w:eastAsia="Times New Roman" w:hAnsi="Times New Roman"/>
          <w:color w:val="1A1A1A"/>
          <w:sz w:val="24"/>
          <w:szCs w:val="24"/>
        </w:rPr>
        <w:t xml:space="preserve">A fourth, more delicate challenge concerns the politically sensitive character of historical narrative in contemporary India. Any pedagogy that invites genuine inquiry into contested historical questions must navigate this sensitivity with care, and teacher-education institutions bear responsibility for preparing history teachers to facilitate such inquiry professionally, grounded in evidence and scholarly method rather than partisan advocacy, so that classrooms become spaces of reasoned civic deliberation rather than sites of polarization. This requires that teacher educators themselves model historiographical rigor and professional restraint, and that methods courses explicitly address the pedagogy of teaching contested and sensitive historical topics.</w:t>
      </w:r>
    </w:p>
    <w:p>
      <w:pPr>
        <w:spacing w:after="160" w:line="360"/>
        <w:ind w:firstLine="400"/>
        <w:jc w:val="both"/>
      </w:pPr>
      <w:r>
        <w:rPr>
          <w:rFonts w:ascii="Times New Roman" w:cs="Times New Roman" w:eastAsia="Times New Roman" w:hAnsi="Times New Roman"/>
          <w:color w:val="1A1A1A"/>
          <w:sz w:val="24"/>
          <w:szCs w:val="24"/>
        </w:rPr>
        <w:t xml:space="preserve">The way forward requires sustained institutional commitment across several fronts: revising B.Ed. history methods curricula to center inquiry-based and source-based pedagogy; aligning assessment practices, at both school and teacher-education levels, with the competencies these pedagogies are meant to develop; investing in accessible digital and archival resources, prioritizing low-cost strategies such as oral and local history where infrastructure is limited; and providing sustained professional development for teacher educators themselves, so that the reimagining of history pedagogy is modeled at the level of teacher preparation and not merely mandated by policy documents. Such a coordinated effort, spanning curriculum, assessment, resourcing, and teacher preparation, offers the most realistic path toward realizing the civic and pedagogical potential of reimagined history education.</w:t>
      </w:r>
    </w:p>
    <w:p>
      <w:pPr>
        <w:spacing w:after="120" w:before="260"/>
      </w:pPr>
      <w:r>
        <w:rPr>
          <w:rFonts w:ascii="Times New Roman" w:cs="Times New Roman" w:eastAsia="Times New Roman" w:hAnsi="Times New Roman"/>
          <w:b/>
          <w:bCs/>
          <w:color w:val="0D1B3E"/>
          <w:sz w:val="26"/>
          <w:szCs w:val="26"/>
        </w:rPr>
        <w:t xml:space="preserve">8. Conclusion</w:t>
      </w:r>
    </w:p>
    <w:p>
      <w:pPr>
        <w:spacing w:after="160" w:line="360"/>
        <w:ind w:firstLine="400"/>
        <w:jc w:val="both"/>
      </w:pPr>
      <w:r>
        <w:rPr>
          <w:rFonts w:ascii="Times New Roman" w:cs="Times New Roman" w:eastAsia="Times New Roman" w:hAnsi="Times New Roman"/>
          <w:color w:val="1A1A1A"/>
          <w:sz w:val="24"/>
          <w:szCs w:val="24"/>
        </w:rPr>
        <w:t xml:space="preserve">The teaching of history occupies a distinctive position among school subjects in its capacity to shape not only what students know but who they become as civic actors. A pedagogy of rote memorization, however administratively convenient, forecloses this civic potential, producing learners equipped with historical information but not historical understanding, and citizens capable of recitation but not of critical, evidence-based civic judgment. Reimagining history pedagogy along inquiry-based, source-critical, and value-conscious lines, as this paper has argued, offers a genuine pathway toward the kind of value-based citizenship that a plural, democratic India requires: citizens grounded in constitutional morality, capable of holding national unity and regional diversity together without contradiction, and equipped with the critical consciousness to navigate a contested and often distorted public discourse about the past. This reimagining aligns closely with the aspirations of NEP 2020 and the broader Viksit Bharat @2047 vision, both of which recognize that national development in the twenty-first century is inseparable from the cultivation of an informed, reflective, and constitutionally grounded citizenry. Teacher-education institutions bear particular responsibility for this transformation, since it is in the preparation of history teachers, through revised methods courses, sustained practicum engagement, and modeled disciplinary rigor, that policy aspiration must be translated into classroom reality. The task ahead is considerable, requiring coordinated reform of curriculum, assessment, and teacher preparation alike, but the civic stakes of history education in the journey toward 2047 make this task not merely desirable but necessary.</w:t>
      </w:r>
    </w:p>
    <w:p>
      <w:pPr>
        <w:pBdr>
          <w:bottom w:val="single" w:color="C8972A" w:sz="6" w:space="4"/>
        </w:pBdr>
        <w:spacing w:after="140" w:before="260"/>
      </w:pPr>
      <w:r>
        <w:rPr>
          <w:rFonts w:ascii="Times New Roman" w:cs="Times New Roman" w:eastAsia="Times New Roman" w:hAnsi="Times New Roman"/>
          <w:b/>
          <w:bCs/>
          <w:color w:val="0D1B3E"/>
          <w:sz w:val="26"/>
          <w:szCs w:val="26"/>
        </w:rPr>
        <w:t xml:space="preserve">References</w:t>
      </w:r>
    </w:p>
    <w:p>
      <w:pPr>
        <w:spacing w:after="130" w:line="280"/>
        <w:ind w:left="480" w:hanging="480"/>
        <w:jc w:val="left"/>
      </w:pPr>
      <w:r>
        <w:rPr>
          <w:rFonts w:ascii="Times New Roman" w:cs="Times New Roman" w:eastAsia="Times New Roman" w:hAnsi="Times New Roman"/>
          <w:color w:val="1A1A1A"/>
          <w:sz w:val="22"/>
          <w:szCs w:val="22"/>
        </w:rPr>
        <w:t xml:space="preserve">Kumar, K. (2005). Political agenda of education: A study of colonialist and nationalist ideas (2nd ed.). Sage Publications.</w:t>
      </w:r>
    </w:p>
    <w:p>
      <w:pPr>
        <w:spacing w:after="130" w:line="280"/>
        <w:ind w:left="480" w:hanging="480"/>
        <w:jc w:val="left"/>
      </w:pPr>
      <w:r>
        <w:rPr>
          <w:rFonts w:ascii="Times New Roman" w:cs="Times New Roman" w:eastAsia="Times New Roman" w:hAnsi="Times New Roman"/>
          <w:color w:val="1A1A1A"/>
          <w:sz w:val="22"/>
          <w:szCs w:val="22"/>
        </w:rPr>
        <w:t xml:space="preserve">Ministry of Education. (2020). National Education Policy 2020. Government of India. https://www.education.gov.in/nep</w:t>
      </w:r>
    </w:p>
    <w:p>
      <w:pPr>
        <w:spacing w:after="130" w:line="280"/>
        <w:ind w:left="480" w:hanging="480"/>
        <w:jc w:val="left"/>
      </w:pPr>
      <w:r>
        <w:rPr>
          <w:rFonts w:ascii="Times New Roman" w:cs="Times New Roman" w:eastAsia="Times New Roman" w:hAnsi="Times New Roman"/>
          <w:color w:val="1A1A1A"/>
          <w:sz w:val="22"/>
          <w:szCs w:val="22"/>
        </w:rPr>
        <w:t xml:space="preserve">National Council for Teacher Education. (2014). National curriculum framework for teacher education. NCTE.</w:t>
      </w:r>
    </w:p>
    <w:p>
      <w:pPr>
        <w:spacing w:after="130" w:line="280"/>
        <w:ind w:left="480" w:hanging="480"/>
        <w:jc w:val="left"/>
      </w:pPr>
      <w:r>
        <w:rPr>
          <w:rFonts w:ascii="Times New Roman" w:cs="Times New Roman" w:eastAsia="Times New Roman" w:hAnsi="Times New Roman"/>
          <w:color w:val="1A1A1A"/>
          <w:sz w:val="22"/>
          <w:szCs w:val="22"/>
        </w:rPr>
        <w:t xml:space="preserve">National Council of Educational Research and Training. (2005). National curriculum framework 2005. NCERT.</w:t>
      </w:r>
    </w:p>
    <w:p>
      <w:pPr>
        <w:spacing w:after="130" w:line="280"/>
        <w:ind w:left="480" w:hanging="480"/>
        <w:jc w:val="left"/>
      </w:pPr>
      <w:r>
        <w:rPr>
          <w:rFonts w:ascii="Times New Roman" w:cs="Times New Roman" w:eastAsia="Times New Roman" w:hAnsi="Times New Roman"/>
          <w:color w:val="1A1A1A"/>
          <w:sz w:val="22"/>
          <w:szCs w:val="22"/>
        </w:rPr>
        <w:t xml:space="preserve">National Council of Educational Research and Training. (2006). Position paper: National focus group on teaching of social sciences. NCERT.</w:t>
      </w:r>
    </w:p>
    <w:p>
      <w:pPr>
        <w:spacing w:after="130" w:line="280"/>
        <w:ind w:left="480" w:hanging="480"/>
        <w:jc w:val="left"/>
      </w:pPr>
      <w:r>
        <w:rPr>
          <w:rFonts w:ascii="Times New Roman" w:cs="Times New Roman" w:eastAsia="Times New Roman" w:hAnsi="Times New Roman"/>
          <w:color w:val="1A1A1A"/>
          <w:sz w:val="22"/>
          <w:szCs w:val="22"/>
        </w:rPr>
        <w:t xml:space="preserve">NITI Aayog. (2023). Viksit Bharat @2047: Approach paper for a developed India. Government of India.</w:t>
      </w:r>
    </w:p>
    <w:p>
      <w:pPr>
        <w:spacing w:after="130" w:line="280"/>
        <w:ind w:left="480" w:hanging="480"/>
        <w:jc w:val="left"/>
      </w:pPr>
      <w:r>
        <w:rPr>
          <w:rFonts w:ascii="Times New Roman" w:cs="Times New Roman" w:eastAsia="Times New Roman" w:hAnsi="Times New Roman"/>
          <w:color w:val="1A1A1A"/>
          <w:sz w:val="22"/>
          <w:szCs w:val="22"/>
        </w:rPr>
        <w:t xml:space="preserve">Seixas, P., &amp; Morton, T. (2013). The big six historical thinking concepts. Nelson Education.</w:t>
      </w:r>
    </w:p>
    <w:p>
      <w:pPr>
        <w:spacing w:after="130" w:line="280"/>
        <w:ind w:left="480" w:hanging="480"/>
        <w:jc w:val="left"/>
      </w:pPr>
      <w:r>
        <w:rPr>
          <w:rFonts w:ascii="Times New Roman" w:cs="Times New Roman" w:eastAsia="Times New Roman" w:hAnsi="Times New Roman"/>
          <w:color w:val="1A1A1A"/>
          <w:sz w:val="22"/>
          <w:szCs w:val="22"/>
        </w:rPr>
        <w:t xml:space="preserve">Thapar, R. (2000). History and beyond. Oxford University Press.</w:t>
      </w:r>
    </w:p>
    <w:p>
      <w:pPr>
        <w:spacing w:after="130" w:line="280"/>
        <w:ind w:left="480" w:hanging="480"/>
        <w:jc w:val="left"/>
      </w:pPr>
      <w:r>
        <w:rPr>
          <w:rFonts w:ascii="Times New Roman" w:cs="Times New Roman" w:eastAsia="Times New Roman" w:hAnsi="Times New Roman"/>
          <w:color w:val="1A1A1A"/>
          <w:sz w:val="22"/>
          <w:szCs w:val="22"/>
        </w:rPr>
        <w:t xml:space="preserve">Thapar, R. (2013). The past as present: Forging contemporary identities through history. Aleph Book Company.</w:t>
      </w:r>
    </w:p>
    <w:p>
      <w:pPr>
        <w:spacing w:after="130" w:line="280"/>
        <w:ind w:left="480" w:hanging="480"/>
        <w:jc w:val="left"/>
      </w:pPr>
      <w:r>
        <w:rPr>
          <w:rFonts w:ascii="Times New Roman" w:cs="Times New Roman" w:eastAsia="Times New Roman" w:hAnsi="Times New Roman"/>
          <w:color w:val="1A1A1A"/>
          <w:sz w:val="22"/>
          <w:szCs w:val="22"/>
        </w:rPr>
        <w:t xml:space="preserve">UNESCO. (2015). Global citizenship education: Topics and learning objectives. UNESCO Publishing.</w:t>
      </w:r>
    </w:p>
    <w:p>
      <w:pPr>
        <w:spacing w:after="130" w:line="280"/>
        <w:ind w:left="480" w:hanging="480"/>
        <w:jc w:val="left"/>
      </w:pPr>
      <w:r>
        <w:rPr>
          <w:rFonts w:ascii="Times New Roman" w:cs="Times New Roman" w:eastAsia="Times New Roman" w:hAnsi="Times New Roman"/>
          <w:color w:val="1A1A1A"/>
          <w:sz w:val="22"/>
          <w:szCs w:val="22"/>
        </w:rPr>
        <w:t xml:space="preserve">University Grants Commission. (2021). Learning outcomes-based curriculum framework for undergraduate education. UGC.</w:t>
      </w:r>
    </w:p>
    <w:p>
      <w:pPr>
        <w:spacing w:after="130" w:line="280"/>
        <w:ind w:left="480" w:hanging="480"/>
        <w:jc w:val="left"/>
      </w:pPr>
      <w:r>
        <w:rPr>
          <w:rFonts w:ascii="Times New Roman" w:cs="Times New Roman" w:eastAsia="Times New Roman" w:hAnsi="Times New Roman"/>
          <w:color w:val="1A1A1A"/>
          <w:sz w:val="22"/>
          <w:szCs w:val="22"/>
        </w:rPr>
        <w:t xml:space="preserve">Wineburg, S. (2001). Historical thinking and other unnatural acts: Charting the future of teaching the past. Temple University Press.</w:t>
      </w:r>
    </w:p>
    <w:sectPr>
      <w:headerReference w:type="default" r:id="rId7"/>
      <w:footerReference w:type="default" r:id="rId8"/>
      <w:pgSz w:w="11906" w:h="16838" w:orient="portrait"/>
      <w:pgMar w:top="1440" w:right="1440" w:bottom="1440" w:left="144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0"/>
      <w:jc w:val="center"/>
    </w:pPr>
    <w:r>
      <w:rPr>
        <w:rFonts w:ascii="Times New Roman" w:cs="Times New Roman" w:eastAsia="Times New Roman" w:hAnsi="Times New Roman"/>
        <w:i/>
        <w:iCs/>
        <w:color w:val="555555"/>
        <w:sz w:val="14"/>
        <w:szCs w:val="14"/>
      </w:rPr>
      <w:t xml:space="preserve">Reimagining Teacher Training: Preparing Educators for 21st-Century Classrooms and Vikshit Bharat@2047</w:t>
    </w:r>
  </w:p>
  <w:p>
    <w:pPr>
      <w:jc w:val="center"/>
    </w:pPr>
    <w:r>
      <w:rPr>
        <w:rFonts w:ascii="Times New Roman" w:cs="Times New Roman" w:eastAsia="Times New Roman" w:hAnsi="Times New Roman"/>
        <w:color w:val="555555"/>
        <w:sz w:val="15"/>
        <w:szCs w:val="15"/>
      </w:rPr>
      <w:t xml:space="preserve">Page </w:t>
    </w:r>
    <w:r>
      <w:rPr>
        <w:rFonts w:ascii="Times New Roman" w:cs="Times New Roman" w:eastAsia="Times New Roman" w:hAnsi="Times New Roman"/>
        <w:color w:val="555555"/>
        <w:sz w:val="15"/>
        <w:szCs w:val="15"/>
      </w:rPr>
      <w:fldChar w:fldCharType="begin"/>
      <w:instrText xml:space="preserve">PAGE</w:instrText>
      <w:fldChar w:fldCharType="separate"/>
      <w:fldChar w:fldCharType="end"/>
    </w:r>
    <w:r>
      <w:rPr>
        <w:rFonts w:ascii="Times New Roman" w:cs="Times New Roman" w:eastAsia="Times New Roman" w:hAnsi="Times New Roman"/>
        <w:color w:val="555555"/>
        <w:sz w:val="15"/>
        <w:szCs w:val="15"/>
      </w:rPr>
      <w:t xml:space="preserve"> of </w:t>
    </w:r>
    <w:r>
      <w:rPr>
        <w:rFonts w:ascii="Times New Roman" w:cs="Times New Roman" w:eastAsia="Times New Roman" w:hAnsi="Times New Roman"/>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spacing w:after="40"/>
      <w:jc w:val="center"/>
    </w:pPr>
    <w:r>
      <w:rPr>
        <w:rFonts w:ascii="Times New Roman" w:cs="Times New Roman" w:eastAsia="Times New Roman" w:hAnsi="Times New Roman"/>
        <w:color w:val="555555"/>
        <w:sz w:val="15"/>
        <w:szCs w:val="15"/>
      </w:rPr>
      <w:t xml:space="preserve">Baikuntha College of Education  ·  International Seminar 2026  ·  Full Paper  ·  28 August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2026-08-26T17:10:16.112Z</dcterms:created>
  <dcterms:modified xsi:type="dcterms:W3CDTF">2026-08-26T17:10:16.112Z</dcterms:modified>
</cp:coreProperties>
</file>

<file path=docProps/custom.xml><?xml version="1.0" encoding="utf-8"?>
<Properties xmlns="http://schemas.openxmlformats.org/officeDocument/2006/custom-properties" xmlns:vt="http://schemas.openxmlformats.org/officeDocument/2006/docPropsVTypes"/>
</file>