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Centralized Resource Pool (CRP) and Its Customized Utilization in Teaching Respective to the Cognitive Nature of the Classroom Learner</w:t>
      </w:r>
    </w:p>
    <w:p>
      <w:pPr>
        <w:spacing w:after="40"/>
        <w:jc w:val="center"/>
      </w:pPr>
      <w:r>
        <w:rPr>
          <w:rFonts w:ascii="Times New Roman" w:cs="Times New Roman" w:eastAsia="Times New Roman" w:hAnsi="Times New Roman"/>
          <w:b/>
          <w:bCs/>
          <w:color w:val="1A1A1A"/>
          <w:sz w:val="26"/>
          <w:szCs w:val="26"/>
        </w:rPr>
        <w:t xml:space="preserve">Ashish Kumar Sharma</w:t>
      </w:r>
    </w:p>
    <w:p>
      <w:pPr>
        <w:spacing w:after="260"/>
        <w:jc w:val="center"/>
      </w:pPr>
      <w:r>
        <w:rPr>
          <w:rFonts w:ascii="Times New Roman" w:cs="Times New Roman" w:eastAsia="Times New Roman" w:hAnsi="Times New Roman"/>
          <w:i/>
          <w:iCs/>
          <w:color w:val="555555"/>
          <w:sz w:val="22"/>
          <w:szCs w:val="22"/>
        </w:rPr>
        <w:t xml:space="preserve">B.Ed. Programme, Baikuntha College of Education</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The twenty-first-century classroom is characterized by learner diversity, rapid technological change, and an expanding demand for personalized pedagogy. This paper conceptualizes the Centralized Resource Pool (CRP) as a shared, curated repository of teaching-learning materials—lesson plans, multimedia, worksheets, assessment tools, and case studies—accessible to and enriched by teachers across an institution or cluster of institutions. Drawing on theoretical foundations from Piaget's cognitive developmental stages, Gardner's theory of multiple intelligences, and Bloom's revised taxonomy, the paper examines how learner cognitive diversity necessitates differentiated resource use rather than uniform delivery. It proposes a five-stage "CRP-Customization Cycle"—learner profiling, resource tagging and retrieval, differentiated selection and adaptation, classroom deployment, and reflective feedback and resource refinement—as a practical model for teacher educators and practicing teachers. The paper situates this model within India's National Education Policy 2020 and the DIKSHA platform, arguing that CRPs, when customized to learners' cognitive profiles, can strengthen equity, reduce teacher workload, and support the vision of Vikshit Bharat@2047 by building a professionally empowered, resource-rich teaching cadre.</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Centralized Resource Pool, differentiated instruction, cognitive diversity, teacher training, multiple intelligences, NEP 2020</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Teacher education in India stands at an inflection point. The National Education Policy 2020 (Ministry of Education, 2020) envisions a pedagogical shift away from rote, uniform instruction toward experiential, competency-based, and learner-centred approaches that respond to the diverse cognitive profiles present in every classroom. This shift places an unprecedented burden on individual teachers, who are expected to design differentiated lessons, multimedia resources, and varied assessments while managing large and heterogeneous classes with limited preparation time. In this context, the idea of pooling teaching-learning resources at an institutional or cluster level—rather than expecting each teacher to create every resource independently—has gained renewed relevance. Digital platforms such as DIKSHA (Diksha, n.d.), developed under the aegis of the National Council of Educational Research and Training, exemplify this move toward centrally curated, openly accessible repositories of teaching content that can be adapted locally.</w:t>
      </w:r>
    </w:p>
    <w:p>
      <w:pPr>
        <w:spacing w:after="160" w:line="360"/>
        <w:ind w:firstLine="400"/>
        <w:jc w:val="both"/>
      </w:pPr>
      <w:r>
        <w:rPr>
          <w:rFonts w:ascii="Times New Roman" w:cs="Times New Roman" w:eastAsia="Times New Roman" w:hAnsi="Times New Roman"/>
          <w:color w:val="1A1A1A"/>
          <w:sz w:val="24"/>
          <w:szCs w:val="24"/>
        </w:rPr>
        <w:t xml:space="preserve">A Centralized Resource Pool (CRP), as conceptualized in this paper, extends this logic beyond a national digital platform to the institutional and cluster level, where teachers actively contribute to and draw from a living, evolving repository tailored to their specific learner population. However, the mere existence of a shared repository does not guarantee effective teaching. Resources must be selected, adapted, and deployed in ways that are sensitive to the cognitive nature of the classroom learner—that is, to variations in how students perceive, process, and represent knowledge. Without such customization, a centralized pool risks becoming a static archive rather than a dynamic pedagogical instrument.</w:t>
      </w:r>
    </w:p>
    <w:p>
      <w:pPr>
        <w:spacing w:after="160" w:line="360"/>
        <w:ind w:firstLine="400"/>
        <w:jc w:val="both"/>
      </w:pPr>
      <w:r>
        <w:rPr>
          <w:rFonts w:ascii="Times New Roman" w:cs="Times New Roman" w:eastAsia="Times New Roman" w:hAnsi="Times New Roman"/>
          <w:color w:val="1A1A1A"/>
          <w:sz w:val="24"/>
          <w:szCs w:val="24"/>
        </w:rPr>
        <w:t xml:space="preserve">This paper therefore addresses two interlocking concerns central to the seminar's theme of reimagining teacher training for twenty-first-century classrooms: first, how a CRP can be structured and sustained as an institutional asset; and second, how its utilization can be customized to the cognitive diversity of learners through a systematic, teacher-friendly cycle. The paper argues that the convergence of resource centralization and cognitive customization is not merely a technical or administrative matter but a pedagogical imperative that aligns directly with the aspirations of NEP 2020 and the longer-term national vision of Vikshit Bharat@2047, which depends on a teaching workforce capable of nurturing every learner's distinct cognitive potential.</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theoretical grounding for differentiated resource use begins with developmental psychology. Piaget's (1952) stage theory of cognitive development established that learners at different ages and developmental stages construct knowledge differently, moving through sensorimotor, preoperational, concrete operational, and formal operational stages, each characterized by distinct capacities for abstraction, reasoning, and symbolic representation. Vygotsky (1978) extended this understanding by emphasizing the social and cultural mediation of cognition, introducing the concept of the Zone of Proximal Development (ZPD), which suggests that learning is optimized when instruction and resources are pitched slightly beyond a learner's independent capability but within reach through guided support. Together, these frameworks imply that a single instructional resource cannot serve all learners equally well; resources must be scaffolded and sequenced according to developmental readiness.</w:t>
      </w:r>
    </w:p>
    <w:p>
      <w:pPr>
        <w:spacing w:after="160" w:line="360"/>
        <w:ind w:firstLine="400"/>
        <w:jc w:val="both"/>
      </w:pPr>
      <w:r>
        <w:rPr>
          <w:rFonts w:ascii="Times New Roman" w:cs="Times New Roman" w:eastAsia="Times New Roman" w:hAnsi="Times New Roman"/>
          <w:color w:val="1A1A1A"/>
          <w:sz w:val="24"/>
          <w:szCs w:val="24"/>
        </w:rPr>
        <w:t xml:space="preserve">Gardner's (1983) theory of multiple intelligences further diversified the understanding of learner cognition by proposing that individuals possess varying strengths across linguistic, logical-mathematical, spatial, musical, bodily-kinesthetic, interpersonal, intrapersonal, and naturalistic intelligences. Although the theory has been debated on empirical grounds, it has had enduring influence on pedagogy by legitimizing the use of varied resource formats—visual, auditory, kinesthetic, and collaborative—to reach learners with different cognitive strengths. Bloom's (1956) original taxonomy of educational objectives, and its revision by Anderson and Krathwohl (2001), offered a complementary lens by classifying cognitive engagement into hierarchical levels—remembering, understanding, applying, analyzing, evaluating, and creating. This taxonomy has become a standard tool for teachers to calibrate the cognitive demand of tasks and resources to learners' readiness, ensuring that materials neither underchallenge advanced learners nor overwhelm those requiring foundational support.</w:t>
      </w:r>
    </w:p>
    <w:p>
      <w:pPr>
        <w:spacing w:after="160" w:line="360"/>
        <w:ind w:firstLine="400"/>
        <w:jc w:val="both"/>
      </w:pPr>
      <w:r>
        <w:rPr>
          <w:rFonts w:ascii="Times New Roman" w:cs="Times New Roman" w:eastAsia="Times New Roman" w:hAnsi="Times New Roman"/>
          <w:color w:val="1A1A1A"/>
          <w:sz w:val="24"/>
          <w:szCs w:val="24"/>
        </w:rPr>
        <w:t xml:space="preserve">On the instructional design side, Tomlinson's (2001) work on differentiated instruction provided a practical framework for translating cognitive diversity into classroom practice, advocating differentiation of content, process, product, and learning environment according to learner readiness, interest, and profile. Woolfolk's (2019) synthesis of educational psychology reinforces that effective teaching requires continual diagnostic attention to learner variation, supported by a repertoire of instructional strategies and materials rather than a single fixed approach. Mishra and Koehler's (2006) Technological Pedagogical Content Knowledge (TPACK) framework adds a further dimension relevant to CRP design, arguing that effective technology-integrated teaching requires the intersection of content knowledge, pedagogical knowledge, and technological knowledge—precisely the intersection that a well-designed CRP must support by offering resources tagged not only by subject content but by pedagogical intent and technological format.</w:t>
      </w:r>
    </w:p>
    <w:p>
      <w:pPr>
        <w:spacing w:after="160" w:line="360"/>
        <w:ind w:firstLine="400"/>
        <w:jc w:val="both"/>
      </w:pPr>
      <w:r>
        <w:rPr>
          <w:rFonts w:ascii="Times New Roman" w:cs="Times New Roman" w:eastAsia="Times New Roman" w:hAnsi="Times New Roman"/>
          <w:color w:val="1A1A1A"/>
          <w:sz w:val="24"/>
          <w:szCs w:val="24"/>
        </w:rPr>
        <w:t xml:space="preserve">At the policy level, the National Education Policy 2020 (Ministry of Education, 2020) explicitly calls for the creation of shared digital repositories, teacher resource banks, and platforms such as DIKSHA to reduce duplication of effort and to democratize access to quality teaching-learning materials across urban and rural, well-resourced and under-resourced institutions. DIKSHA documentation (Diksha, n.d.) describes the platform's architecture as a nationally curated but locally adaptable content ecosystem, offering a real-world precedent for the institutional-level CRP proposed in this paper. Collectively, the literature converges on a central proposition: cognitive diversity is a well-established empirical and theoretical reality of classrooms, instructional differentiation is the recognized pedagogical response to that diversity, and centralized, technology-enabled resource repositories are an emerging infrastructural mechanism through which differentiation can be operationalized at scale. What remains underdeveloped in the literature, however, is a systematic process model connecting the mechanics of a centralized resource pool to the specific cognitive-diagnostic work that differentiation requires—a gap this paper seeks to address.</w:t>
      </w:r>
    </w:p>
    <w:p>
      <w:pPr>
        <w:spacing w:after="120" w:before="260"/>
      </w:pPr>
      <w:r>
        <w:rPr>
          <w:rFonts w:ascii="Times New Roman" w:cs="Times New Roman" w:eastAsia="Times New Roman" w:hAnsi="Times New Roman"/>
          <w:b/>
          <w:bCs/>
          <w:color w:val="0D1B3E"/>
          <w:sz w:val="26"/>
          <w:szCs w:val="26"/>
        </w:rPr>
        <w:t xml:space="preserve">3. Objectives of the Study</w:t>
      </w:r>
    </w:p>
    <w:p>
      <w:pPr>
        <w:spacing w:after="160" w:line="360"/>
        <w:ind w:firstLine="400"/>
        <w:jc w:val="both"/>
      </w:pPr>
      <w:r>
        <w:rPr>
          <w:rFonts w:ascii="Times New Roman" w:cs="Times New Roman" w:eastAsia="Times New Roman" w:hAnsi="Times New Roman"/>
          <w:color w:val="1A1A1A"/>
          <w:sz w:val="24"/>
          <w:szCs w:val="24"/>
        </w:rPr>
        <w:t xml:space="preserve">The present study is guided by the following objectives:</w:t>
      </w:r>
    </w:p>
    <w:p>
      <w:pPr>
        <w:spacing w:after="160" w:line="360"/>
        <w:ind w:firstLine="400"/>
        <w:jc w:val="both"/>
      </w:pPr>
      <w:r>
        <w:rPr>
          <w:rFonts w:ascii="Times New Roman" w:cs="Times New Roman" w:eastAsia="Times New Roman" w:hAnsi="Times New Roman"/>
          <w:color w:val="1A1A1A"/>
          <w:sz w:val="24"/>
          <w:szCs w:val="24"/>
        </w:rPr>
        <w:t xml:space="preserve">1. To conceptualize the Centralized Resource Pool (CRP) as a structured institutional mechanism for organizing, sharing, and sustaining teaching-learning resources.</w:t>
      </w:r>
    </w:p>
    <w:p>
      <w:pPr>
        <w:spacing w:after="160" w:line="360"/>
        <w:ind w:firstLine="400"/>
        <w:jc w:val="both"/>
      </w:pPr>
      <w:r>
        <w:rPr>
          <w:rFonts w:ascii="Times New Roman" w:cs="Times New Roman" w:eastAsia="Times New Roman" w:hAnsi="Times New Roman"/>
          <w:color w:val="1A1A1A"/>
          <w:sz w:val="24"/>
          <w:szCs w:val="24"/>
        </w:rPr>
        <w:t xml:space="preserve">2. To examine the cognitive diversity of classroom learners through the theoretical lenses of Piaget's developmental stages, Gardner's multiple intelligences, and Bloom's revised taxonomy.</w:t>
      </w:r>
    </w:p>
    <w:p>
      <w:pPr>
        <w:spacing w:after="160" w:line="360"/>
        <w:ind w:firstLine="400"/>
        <w:jc w:val="both"/>
      </w:pPr>
      <w:r>
        <w:rPr>
          <w:rFonts w:ascii="Times New Roman" w:cs="Times New Roman" w:eastAsia="Times New Roman" w:hAnsi="Times New Roman"/>
          <w:color w:val="1A1A1A"/>
          <w:sz w:val="24"/>
          <w:szCs w:val="24"/>
        </w:rPr>
        <w:t xml:space="preserve">3. To propose a systematic, cyclical model—the CRP-Customization Cycle—through which teachers can adapt pooled resources to the cognitive profiles of their learners.</w:t>
      </w:r>
    </w:p>
    <w:p>
      <w:pPr>
        <w:spacing w:after="160" w:line="360"/>
        <w:ind w:firstLine="400"/>
        <w:jc w:val="both"/>
      </w:pPr>
      <w:r>
        <w:rPr>
          <w:rFonts w:ascii="Times New Roman" w:cs="Times New Roman" w:eastAsia="Times New Roman" w:hAnsi="Times New Roman"/>
          <w:color w:val="1A1A1A"/>
          <w:sz w:val="24"/>
          <w:szCs w:val="24"/>
        </w:rPr>
        <w:t xml:space="preserve">4. To discuss the potential benefits and practical challenges of implementing customized CRP utilization within the Indian teacher-education and school context.</w:t>
      </w:r>
    </w:p>
    <w:p>
      <w:pPr>
        <w:spacing w:after="160" w:line="360"/>
        <w:ind w:firstLine="400"/>
        <w:jc w:val="both"/>
      </w:pPr>
      <w:r>
        <w:rPr>
          <w:rFonts w:ascii="Times New Roman" w:cs="Times New Roman" w:eastAsia="Times New Roman" w:hAnsi="Times New Roman"/>
          <w:color w:val="1A1A1A"/>
          <w:sz w:val="24"/>
          <w:szCs w:val="24"/>
        </w:rPr>
        <w:t xml:space="preserve">5. To offer recommendations for teacher-education institutions, in alignment with NEP 2020 and the Vikshit Bharat@2047 vision, for building sustainable and cognitively responsive resource ecosystems.</w:t>
      </w:r>
    </w:p>
    <w:p>
      <w:pPr>
        <w:spacing w:after="120" w:before="260"/>
      </w:pPr>
      <w:r>
        <w:rPr>
          <w:rFonts w:ascii="Times New Roman" w:cs="Times New Roman" w:eastAsia="Times New Roman" w:hAnsi="Times New Roman"/>
          <w:b/>
          <w:bCs/>
          <w:color w:val="0D1B3E"/>
          <w:sz w:val="26"/>
          <w:szCs w:val="26"/>
        </w:rPr>
        <w:t xml:space="preserve">4. Conceptual Framework — Centralized Resource Pool (CRP)</w:t>
      </w:r>
    </w:p>
    <w:p>
      <w:pPr>
        <w:spacing w:after="160" w:line="360"/>
        <w:ind w:firstLine="400"/>
        <w:jc w:val="both"/>
      </w:pPr>
      <w:r>
        <w:rPr>
          <w:rFonts w:ascii="Times New Roman" w:cs="Times New Roman" w:eastAsia="Times New Roman" w:hAnsi="Times New Roman"/>
          <w:color w:val="1A1A1A"/>
          <w:sz w:val="24"/>
          <w:szCs w:val="24"/>
        </w:rPr>
        <w:t xml:space="preserve">The Centralized Resource Pool (CRP) is conceptualized in this paper as a shared, curated, and systematically organized repository of teaching-learning resources—comprising lesson plans, multimedia content, worksheets, assessment tools, and case studies—that is accessible to, and collaboratively enriched by, teachers within an institution or across a cluster of affiliated institutions. Unlike an individual teacher's personal resource collection, which is typically fragmented, uneven in quality, and vulnerable to loss when a teacher transfers or retires, a CRP is conceived as an institutional asset: it persists across staffing changes, accumulates value over time through continuous contribution, and is subject to shared quality norms.</w:t>
      </w:r>
    </w:p>
    <w:p>
      <w:pPr>
        <w:spacing w:after="160" w:line="360"/>
        <w:ind w:firstLine="400"/>
        <w:jc w:val="both"/>
      </w:pPr>
      <w:r>
        <w:rPr>
          <w:rFonts w:ascii="Times New Roman" w:cs="Times New Roman" w:eastAsia="Times New Roman" w:hAnsi="Times New Roman"/>
          <w:color w:val="1A1A1A"/>
          <w:sz w:val="24"/>
          <w:szCs w:val="24"/>
        </w:rPr>
        <w:t xml:space="preserve">Structurally, a CRP may exist in digital form (a learning management system, a shared cloud repository, or an institution-specific extension of a platform such as DIKSHA), in physical form (a resource room or subject-wise material bank), or, more commonly in the Indian teacher-education context, as a hybrid of both. What distinguishes a CRP from a mere storage archive is its curatorial architecture: resources are not simply uploaded but are tagged according to metadata dimensions such as subject and topic, grade or class level, cognitive demand (mapped to Bloom's taxonomy levels), intelligence orientation (mapped loosely to Gardner's categories), format (text, audio, visual, interactive), and pedagogical purpose (introduction, practice, remediation, enrichment, assessment). This metadata architecture is what enables the "customized" retrieval discussed in Section 6; without it, a resource pool remains centralized but not usably differentiated.</w:t>
      </w:r>
    </w:p>
    <w:p>
      <w:pPr>
        <w:spacing w:after="160" w:line="360"/>
        <w:ind w:firstLine="400"/>
        <w:jc w:val="both"/>
      </w:pPr>
      <w:r>
        <w:rPr>
          <w:rFonts w:ascii="Times New Roman" w:cs="Times New Roman" w:eastAsia="Times New Roman" w:hAnsi="Times New Roman"/>
          <w:color w:val="1A1A1A"/>
          <w:sz w:val="24"/>
          <w:szCs w:val="24"/>
        </w:rPr>
        <w:t xml:space="preserve">Functionally, the CRP serves three interlocking purposes. First, it reduces redundant labour, allowing teachers to draw upon resources developed by colleagues rather than independently reconstructing similar materials for each cohort of learners—an efficiency gain particularly valuable for pre-service and early-career teachers still building their pedagogical repertoire. Second, it functions as a professional development mechanism, since browsing, adapting, and contributing to shared resources exposes teachers to varied pedagogical approaches and implicitly models good practice, consistent with the collaborative, socially mediated view of professional learning implied by Vygotsky's (1978) work on mediated cognition. Third, and most centrally to this paper's argument, the CRP provides the raw material from which differentiated, learner-responsive teaching can be constructed, provided that teachers are equipped with a systematic process for selecting and adapting pooled resources to the cognitive profile of the specific learners in front of them—the subject of the model proposed in Section 6.</w:t>
      </w:r>
    </w:p>
    <w:p>
      <w:pPr>
        <w:spacing w:after="120" w:before="260"/>
      </w:pPr>
      <w:r>
        <w:rPr>
          <w:rFonts w:ascii="Times New Roman" w:cs="Times New Roman" w:eastAsia="Times New Roman" w:hAnsi="Times New Roman"/>
          <w:b/>
          <w:bCs/>
          <w:color w:val="0D1B3E"/>
          <w:sz w:val="26"/>
          <w:szCs w:val="26"/>
        </w:rPr>
        <w:t xml:space="preserve">5. Cognitive Nature of the Classroom Learner</w:t>
      </w:r>
    </w:p>
    <w:p>
      <w:pPr>
        <w:spacing w:after="160" w:line="360"/>
        <w:ind w:firstLine="400"/>
        <w:jc w:val="both"/>
      </w:pPr>
      <w:r>
        <w:rPr>
          <w:rFonts w:ascii="Times New Roman" w:cs="Times New Roman" w:eastAsia="Times New Roman" w:hAnsi="Times New Roman"/>
          <w:color w:val="1A1A1A"/>
          <w:sz w:val="24"/>
          <w:szCs w:val="24"/>
        </w:rPr>
        <w:t xml:space="preserve">No two learners in a classroom process information in identical ways, and any model of resource utilization that ignores this reality risks reproducing the one-size-fits-all instruction that NEP 2020 explicitly seeks to move away from. Three theoretical frameworks are particularly instructive for understanding this diversity and for informing how a CRP might be customized in response to it.</w:t>
      </w:r>
    </w:p>
    <w:p>
      <w:pPr>
        <w:spacing w:after="160" w:line="360"/>
        <w:ind w:firstLine="400"/>
        <w:jc w:val="both"/>
      </w:pPr>
      <w:r>
        <w:rPr>
          <w:rFonts w:ascii="Times New Roman" w:cs="Times New Roman" w:eastAsia="Times New Roman" w:hAnsi="Times New Roman"/>
          <w:color w:val="1A1A1A"/>
          <w:sz w:val="24"/>
          <w:szCs w:val="24"/>
        </w:rPr>
        <w:t xml:space="preserve">First, Piaget's (1952) stages of cognitive development remind teacher educators that learners at a given chronological age may nonetheless differ in their operative cognitive stage, particularly in mixed-ability or multigrade classrooms common in many Indian schools. A learner still consolidating concrete operational thinking will engage more effectively with resources that offer tangible, manipulable, or visually grounded representations, whereas a learner who has moved into formal operational thinking can engage productively with abstract, hypothetical, or symbolic material. A CRP that tags resources by developmental appropriateness, rather than only by grade level, allows teachers to select materials matched to actual cognitive readiness rather than assumed age-based readiness.</w:t>
      </w:r>
    </w:p>
    <w:p>
      <w:pPr>
        <w:spacing w:after="160" w:line="360"/>
        <w:ind w:firstLine="400"/>
        <w:jc w:val="both"/>
      </w:pPr>
      <w:r>
        <w:rPr>
          <w:rFonts w:ascii="Times New Roman" w:cs="Times New Roman" w:eastAsia="Times New Roman" w:hAnsi="Times New Roman"/>
          <w:color w:val="1A1A1A"/>
          <w:sz w:val="24"/>
          <w:szCs w:val="24"/>
        </w:rPr>
        <w:t xml:space="preserve">Second, Gardner's (1983) theory of multiple intelligences highlights that even learners at the same developmental stage differ in the modality through which they most readily construct understanding. A learner with strong spatial intelligence may grasp a geometric concept more readily through a diagram or model than through a verbal explanation, while a learner with strong interpersonal intelligence may benefit more from a collaborative case-study discussion than from solitary worksheet practice. This does not imply that teachers must create eight parallel versions of every lesson; rather, it implies that a resource pool tagged by dominant modality allows a teacher to make an informed, rapid selection or combination of formats appropriate to the composition of a particular class or to a particular struggling learner within it.</w:t>
      </w:r>
    </w:p>
    <w:p>
      <w:pPr>
        <w:spacing w:after="160" w:line="360"/>
        <w:ind w:firstLine="400"/>
        <w:jc w:val="both"/>
      </w:pPr>
      <w:r>
        <w:rPr>
          <w:rFonts w:ascii="Times New Roman" w:cs="Times New Roman" w:eastAsia="Times New Roman" w:hAnsi="Times New Roman"/>
          <w:color w:val="1A1A1A"/>
          <w:sz w:val="24"/>
          <w:szCs w:val="24"/>
        </w:rPr>
        <w:t xml:space="preserve">Third, Bloom's revised taxonomy (Anderson &amp; Krathwohl, 2001) provides a vertical dimension of cognitive diversity, namely variation in the level of cognitive challenge a learner is ready to engage with within a given topic. Within a single classroom, some learners may still require resources pitched at the remembering and understanding levels, while others are ready for resources demanding analysis, evaluation, or creation. A CRP that tags resources by taxonomy level allows a teacher to draw a graduated set of materials on the same topic, supporting both remedial reinforcement and enrichment without requiring the teacher to author new material for each learner tier from scratch. Taken together, these three frameworks establish that cognitive diversity in the classroom operates along at least three axes—developmental readiness, modality/intelligence orientation, and cognitive-demand level—and that a resource pool's value for differentiated teaching depends on how systematically it is organized along these very axes.</w:t>
      </w:r>
    </w:p>
    <w:p>
      <w:pPr>
        <w:spacing w:after="120" w:before="260"/>
      </w:pPr>
      <w:r>
        <w:rPr>
          <w:rFonts w:ascii="Times New Roman" w:cs="Times New Roman" w:eastAsia="Times New Roman" w:hAnsi="Times New Roman"/>
          <w:b/>
          <w:bCs/>
          <w:color w:val="0D1B3E"/>
          <w:sz w:val="26"/>
          <w:szCs w:val="26"/>
        </w:rPr>
        <w:t xml:space="preserve">6. Customized Utilization of CRP — Proposed Model: The CRP-Customization Cycle</w:t>
      </w:r>
    </w:p>
    <w:p>
      <w:pPr>
        <w:spacing w:after="160" w:line="360"/>
        <w:ind w:firstLine="400"/>
        <w:jc w:val="both"/>
      </w:pPr>
      <w:r>
        <w:rPr>
          <w:rFonts w:ascii="Times New Roman" w:cs="Times New Roman" w:eastAsia="Times New Roman" w:hAnsi="Times New Roman"/>
          <w:color w:val="1A1A1A"/>
          <w:sz w:val="24"/>
          <w:szCs w:val="24"/>
        </w:rPr>
        <w:t xml:space="preserve">To translate the conceptual convergence of Sections 4 and 5 into classroom-usable practice, this paper proposes a five-stage cyclical model termed the CRP-Customization Cycle. The cycle is deliberately iterative rather than linear: it is designed to be repeated each teaching cycle, with insights from the final stage feeding back into the first, so that both learner understanding and the resource pool itself improve over time.</w:t>
      </w:r>
    </w:p>
    <w:p>
      <w:pPr>
        <w:spacing w:after="90" w:before="160"/>
      </w:pPr>
      <w:r>
        <w:rPr>
          <w:rFonts w:ascii="Times New Roman" w:cs="Times New Roman" w:eastAsia="Times New Roman" w:hAnsi="Times New Roman"/>
          <w:b/>
          <w:bCs/>
          <w:i/>
          <w:iCs/>
          <w:color w:val="9C7620"/>
          <w:sz w:val="24"/>
          <w:szCs w:val="24"/>
        </w:rPr>
        <w:t xml:space="preserve">6.1 Stage 1: Learner Profiling</w:t>
      </w:r>
    </w:p>
    <w:p>
      <w:pPr>
        <w:spacing w:after="160" w:line="360"/>
        <w:ind w:firstLine="400"/>
        <w:jc w:val="both"/>
      </w:pPr>
      <w:r>
        <w:rPr>
          <w:rFonts w:ascii="Times New Roman" w:cs="Times New Roman" w:eastAsia="Times New Roman" w:hAnsi="Times New Roman"/>
          <w:color w:val="1A1A1A"/>
          <w:sz w:val="24"/>
          <w:szCs w:val="24"/>
        </w:rPr>
        <w:t xml:space="preserve">The cycle begins with the teacher constructing or updating a cognitive profile of the class and, where feasible, of individual learners or learner clusters. This profiling draws informally on classroom observation, prior assessment records, and diagnostic activities, and is organized along the three axes identified in Section 5: approximate developmental readiness (Piagetian stage-consistent behaviours such as reliance on concrete versus abstract reasoning), modality or intelligence orientation (informal indicators such as preference for visual, verbal, or hands-on tasks), and current cognitive-demand level on the topic at hand (where learners sit relative to Bloom's taxonomy levels for that content). Rather than requiring elaborate psychometric testing, this stage is intended to be lightweight and formative, consistent with Woolfolk's (2019) emphasis on continual, practice-embedded diagnostic attention. The output of this stage is not a rigid label attached to each child but a working profile of the range of cognitive needs present in the classroom, which directs the teacher's subsequent search within the CRP.</w:t>
      </w:r>
    </w:p>
    <w:p>
      <w:pPr>
        <w:spacing w:after="90" w:before="160"/>
      </w:pPr>
      <w:r>
        <w:rPr>
          <w:rFonts w:ascii="Times New Roman" w:cs="Times New Roman" w:eastAsia="Times New Roman" w:hAnsi="Times New Roman"/>
          <w:b/>
          <w:bCs/>
          <w:i/>
          <w:iCs/>
          <w:color w:val="9C7620"/>
          <w:sz w:val="24"/>
          <w:szCs w:val="24"/>
        </w:rPr>
        <w:t xml:space="preserve">6.2 Stage 2: Resource Tagging and Retrieval</w:t>
      </w:r>
    </w:p>
    <w:p>
      <w:pPr>
        <w:spacing w:after="160" w:line="360"/>
        <w:ind w:firstLine="400"/>
        <w:jc w:val="both"/>
      </w:pPr>
      <w:r>
        <w:rPr>
          <w:rFonts w:ascii="Times New Roman" w:cs="Times New Roman" w:eastAsia="Times New Roman" w:hAnsi="Times New Roman"/>
          <w:color w:val="1A1A1A"/>
          <w:sz w:val="24"/>
          <w:szCs w:val="24"/>
        </w:rPr>
        <w:t xml:space="preserve">Once the learner profile is established, the teacher searches the CRP using the metadata architecture described in Section 4—subject, topic, developmental appropriateness, modality, and cognitive-demand level—to retrieve a set of candidate resources rather than a single fixed lesson plan. This stage depends critically on the discipline of resource tagging described earlier: a CRP where materials are uploaded without consistent metadata offers little advantage over an unstructured personal file collection. Institutions adopting a CRP model must therefore invest in a shared tagging protocol and, ideally, a simple search interface, whether through a dedicated digital repository or an institution-level extension of an existing platform such as DIKSHA. The retrieval step is deliberately generative rather than terminal: the teacher retrieves a spread of resources spanning multiple modalities and demand levels rather than a single "correct" resource, since the profiling stage will typically reveal a range of learner needs within one classroom.</w:t>
      </w:r>
    </w:p>
    <w:p>
      <w:pPr>
        <w:spacing w:after="90" w:before="160"/>
      </w:pPr>
      <w:r>
        <w:rPr>
          <w:rFonts w:ascii="Times New Roman" w:cs="Times New Roman" w:eastAsia="Times New Roman" w:hAnsi="Times New Roman"/>
          <w:b/>
          <w:bCs/>
          <w:i/>
          <w:iCs/>
          <w:color w:val="9C7620"/>
          <w:sz w:val="24"/>
          <w:szCs w:val="24"/>
        </w:rPr>
        <w:t xml:space="preserve">6.3 Stage 3: Differentiated Selection and Adaptation</w:t>
      </w:r>
    </w:p>
    <w:p>
      <w:pPr>
        <w:spacing w:after="160" w:line="360"/>
        <w:ind w:firstLine="400"/>
        <w:jc w:val="both"/>
      </w:pPr>
      <w:r>
        <w:rPr>
          <w:rFonts w:ascii="Times New Roman" w:cs="Times New Roman" w:eastAsia="Times New Roman" w:hAnsi="Times New Roman"/>
          <w:color w:val="1A1A1A"/>
          <w:sz w:val="24"/>
          <w:szCs w:val="24"/>
        </w:rPr>
        <w:t xml:space="preserve">With a set of candidate resources in hand, the teacher selects and, where necessary, adapts materials to fit the specific composition of the classroom identified in Stage 1. This is the stage at which Tomlinson's (2001) principles of differentiating content, process, and product become operational: the teacher may select a concrete, manipulative-based resource for learners still consolidating foundational understanding, a standard resource for learners at grade-appropriate readiness, and an extension or open-ended case-study resource for learners ready for analysis or evaluation-level engagement, all drawn from or adapted out of the same CRP topic folder. Adaptation may be minor (adjusting vocabulary, adding visual scaffolds, shortening a text) or more substantial (combining elements of two pooled resources into a station-based or group-differentiated activity). Because the base resources originate from the shared pool rather than being built from scratch, this adaptation work is markedly less time-intensive than independent lesson creation, addressing one of the most commonly cited barriers to differentiated instruction in practice—teacher time and workload.</w:t>
      </w:r>
    </w:p>
    <w:p>
      <w:pPr>
        <w:spacing w:after="90" w:before="160"/>
      </w:pPr>
      <w:r>
        <w:rPr>
          <w:rFonts w:ascii="Times New Roman" w:cs="Times New Roman" w:eastAsia="Times New Roman" w:hAnsi="Times New Roman"/>
          <w:b/>
          <w:bCs/>
          <w:i/>
          <w:iCs/>
          <w:color w:val="9C7620"/>
          <w:sz w:val="24"/>
          <w:szCs w:val="24"/>
        </w:rPr>
        <w:t xml:space="preserve">6.4 Stage 4: Classroom Deployment</w:t>
      </w:r>
    </w:p>
    <w:p>
      <w:pPr>
        <w:spacing w:after="160" w:line="360"/>
        <w:ind w:firstLine="400"/>
        <w:jc w:val="both"/>
      </w:pPr>
      <w:r>
        <w:rPr>
          <w:rFonts w:ascii="Times New Roman" w:cs="Times New Roman" w:eastAsia="Times New Roman" w:hAnsi="Times New Roman"/>
          <w:color w:val="1A1A1A"/>
          <w:sz w:val="24"/>
          <w:szCs w:val="24"/>
        </w:rPr>
        <w:t xml:space="preserve">The adapted resources are then deployed in the actual teaching-learning process, whether through whole-class instruction with embedded differentiation (for example, tiered questioning drawing on different Bloom levels), small-group or station rotation using different modality-matched resources, or individualized support for learners requiring additional scaffolding. This stage also incorporates Vygotsky's (1978) notion of the Zone of Proximal Development, in that deployment is most effective when it positions each learner group with a resource that is challenging yet attainable with appropriate teacher or peer support, rather than either trivially easy or inaccessibly difficult. Deployment should also make purposeful use of technology where available and appropriate, reflecting the TPACK principle (Mishra &amp; Koehler, 2006) that effective integration requires alignment between the resource's technological format, the pedagogical strategy being used, and the content being taught, rather than technology use for its own sake.</w:t>
      </w:r>
    </w:p>
    <w:p>
      <w:pPr>
        <w:spacing w:after="90" w:before="160"/>
      </w:pPr>
      <w:r>
        <w:rPr>
          <w:rFonts w:ascii="Times New Roman" w:cs="Times New Roman" w:eastAsia="Times New Roman" w:hAnsi="Times New Roman"/>
          <w:b/>
          <w:bCs/>
          <w:i/>
          <w:iCs/>
          <w:color w:val="9C7620"/>
          <w:sz w:val="24"/>
          <w:szCs w:val="24"/>
        </w:rPr>
        <w:t xml:space="preserve">6.5 Stage 5: Reflective Feedback and Resource Refinement</w:t>
      </w:r>
    </w:p>
    <w:p>
      <w:pPr>
        <w:spacing w:after="160" w:line="360"/>
        <w:ind w:firstLine="400"/>
        <w:jc w:val="both"/>
      </w:pPr>
      <w:r>
        <w:rPr>
          <w:rFonts w:ascii="Times New Roman" w:cs="Times New Roman" w:eastAsia="Times New Roman" w:hAnsi="Times New Roman"/>
          <w:color w:val="1A1A1A"/>
          <w:sz w:val="24"/>
          <w:szCs w:val="24"/>
        </w:rPr>
        <w:t xml:space="preserve">The cycle concludes—and simultaneously restarts—with structured teacher reflection on how effectively the deployed resources served the diverse learners identified in Stage 1. This reflection considers both learner-level evidence (engagement, formative assessment results, error patterns) and resource-level evidence (which materials worked well for which learner profile, which required adaptation, which failed to engage intended learners). Critically, this stage feeds two directions simultaneously: it updates the teacher's understanding of individual and class-level learner profiles for the next iteration of Stage 1, and it generates feedback that is contributed back into the CRP itself—refining metadata tags, flagging resources needing revision, and adding newly created or adapted materials to the shared pool. This closes the loop between individual classroom practice and institutional resource development, ensuring that the CRP itself grows more precisely calibrated to actual learner cognitive diversity over successive cycles, rather than remaining a static, one-time upload of materials.</w:t>
      </w:r>
    </w:p>
    <w:p>
      <w:pPr>
        <w:spacing w:after="120" w:before="260"/>
      </w:pPr>
      <w:r>
        <w:rPr>
          <w:rFonts w:ascii="Times New Roman" w:cs="Times New Roman" w:eastAsia="Times New Roman" w:hAnsi="Times New Roman"/>
          <w:b/>
          <w:bCs/>
          <w:color w:val="0D1B3E"/>
          <w:sz w:val="26"/>
          <w:szCs w:val="26"/>
        </w:rPr>
        <w:t xml:space="preserve">7. Discussion — Benefits and Challenges</w:t>
      </w:r>
    </w:p>
    <w:p>
      <w:pPr>
        <w:spacing w:after="160" w:line="360"/>
        <w:ind w:firstLine="400"/>
        <w:jc w:val="both"/>
      </w:pPr>
      <w:r>
        <w:rPr>
          <w:rFonts w:ascii="Times New Roman" w:cs="Times New Roman" w:eastAsia="Times New Roman" w:hAnsi="Times New Roman"/>
          <w:color w:val="1A1A1A"/>
          <w:sz w:val="24"/>
          <w:szCs w:val="24"/>
        </w:rPr>
        <w:t xml:space="preserve">The CRP-Customization Cycle, when implemented conscientiously, offers several interlocking benefits. Pedagogically, it operationalizes differentiated instruction in a way that is sustainable for individual teachers, since the labour of initial resource creation is distributed across a community of contributors rather than borne entirely by each teacher for each class. This directly addresses one of the most persistent obstacles identified in the differentiated instruction literature: that teachers acknowledge the value of differentiation in principle but struggle to enact it given time and workload constraints (Tomlinson, 2001). Institutionally, a well-maintained CRP builds a form of collective pedagogical memory that persists beyond individual teacher tenure, strengthening consistency of quality across sections and, in the case of cluster-level pools, across schools of varying resource capacity—an equity benefit particularly relevant to under-resourced government and rural institutions seeking to meet NEP 2020's aspirations for quality and access. For teacher-education institutions specifically, engaging pre-service teachers in both retrieving from and contributing to a CRP during their B.Ed. training embeds the habits of reflective, evidence-based, collaborative practice from the earliest stage of professional formation, aligning closely with the seminar's broader theme of preparing educators for twenty-first-century classrooms.</w:t>
      </w:r>
    </w:p>
    <w:p>
      <w:pPr>
        <w:spacing w:after="160" w:line="360"/>
        <w:ind w:firstLine="400"/>
        <w:jc w:val="both"/>
      </w:pPr>
      <w:r>
        <w:rPr>
          <w:rFonts w:ascii="Times New Roman" w:cs="Times New Roman" w:eastAsia="Times New Roman" w:hAnsi="Times New Roman"/>
          <w:color w:val="1A1A1A"/>
          <w:sz w:val="24"/>
          <w:szCs w:val="24"/>
        </w:rPr>
        <w:t xml:space="preserve">The model also carries meaningful implications for the longer-term national vision of Vikshit Bharat@2047. A developed nation requires an education system capable of nurturing the full range of human cognitive potential across a vast and diverse population; a teaching workforce equipped with both a rich shared resource base and the diagnostic skill to deploy it responsively is a structural precondition for that goal, rather than a peripheral enhancement to it.</w:t>
      </w:r>
    </w:p>
    <w:p>
      <w:pPr>
        <w:spacing w:after="160" w:line="360"/>
        <w:ind w:firstLine="400"/>
        <w:jc w:val="both"/>
      </w:pPr>
      <w:r>
        <w:rPr>
          <w:rFonts w:ascii="Times New Roman" w:cs="Times New Roman" w:eastAsia="Times New Roman" w:hAnsi="Times New Roman"/>
          <w:color w:val="1A1A1A"/>
          <w:sz w:val="24"/>
          <w:szCs w:val="24"/>
        </w:rPr>
        <w:t xml:space="preserve">At the same time, several challenges merit candid discussion. The first is the risk of superficial or inconsistent tagging: if contributing teachers do not apply metadata rigorously, retrieval in Stage 2 becomes unreliable, undermining the entire cycle. This suggests a need for institutional coordination—possibly a designated CRP coordinator or committee—responsible for periodic quality checks, rather than assuming tagging discipline will emerge spontaneously. Second, the learner-profiling stage (Stage 1) demands a degree of diagnostic skill and time that not all teachers, particularly those early in their careers, may initially possess; this points to an explicit training need within B.Ed. and in-service programmes, ensuring that profiling is taught as a concrete, practical skill rather than left implicit. Third, there is a risk of over-reliance on categorical labels—treating a learner as permanently "visual" or permanently at a fixed Bloom level—which would contradict the dynamic, developmental spirit of Piaget's and Vygotsky's own theories; the cycle's design as an iterative, repeatedly updated process is intended to mitigate this risk, but only if institutions resist the temptation to fossilize Stage 1 profiles into static labels. Fourth, infrastructural constraints—uneven internet connectivity, limited device access, and variable digital literacy among both teachers and learners—remain a genuine concern in parts of the Indian education system, meaning that any CRP model must accommodate hybrid digital-physical implementation rather than assuming universal digital access, an issue DIKSHA's own design has had to contend with at national scale (Diksha, n.d.). Finally, sustaining teacher motivation to contribute to, and not merely extract from, the pool requires institutional recognition and possibly workload accommodation, since voluntary, unrecognized contribution is unlikely to be sustained indefinitely.</w:t>
      </w:r>
    </w:p>
    <w:p>
      <w:pPr>
        <w:spacing w:after="120" w:before="260"/>
      </w:pPr>
      <w:r>
        <w:rPr>
          <w:rFonts w:ascii="Times New Roman" w:cs="Times New Roman" w:eastAsia="Times New Roman" w:hAnsi="Times New Roman"/>
          <w:b/>
          <w:bCs/>
          <w:color w:val="0D1B3E"/>
          <w:sz w:val="26"/>
          <w:szCs w:val="26"/>
        </w:rPr>
        <w:t xml:space="preserve">8. Conclusion and Recommendations</w:t>
      </w:r>
    </w:p>
    <w:p>
      <w:pPr>
        <w:spacing w:after="160" w:line="360"/>
        <w:ind w:firstLine="400"/>
        <w:jc w:val="both"/>
      </w:pPr>
      <w:r>
        <w:rPr>
          <w:rFonts w:ascii="Times New Roman" w:cs="Times New Roman" w:eastAsia="Times New Roman" w:hAnsi="Times New Roman"/>
          <w:color w:val="1A1A1A"/>
          <w:sz w:val="24"/>
          <w:szCs w:val="24"/>
        </w:rPr>
        <w:t xml:space="preserve">This paper has argued that the pedagogical demands of twenty-first-century classrooms—characterized by pronounced cognitive diversity among learners and increasing expectations for personalized, competency-based teaching—cannot be met efficiently through either individual teacher resource creation alone or an undifferentiated centralized repository alone. Rather, the two must be integrated through a deliberate, systematic process, which this paper has proposed as the five-stage CRP-Customization Cycle: learner profiling, resource tagging and retrieval, differentiated selection and adaptation, classroom deployment, and reflective feedback and resource refinement. Grounded in the established theoretical contributions of Piaget, Vygotsky, Gardner, and Bloom (as revised by Anderson and Krathwohl), and consistent with the policy direction articulated in NEP 2020 and embodied in platforms such as DIKSHA, this model offers teacher-education institutions a practical pathway for reconciling the efficiency benefits of resource centralization with the pedagogical necessity of cognitive responsiveness.</w:t>
      </w:r>
    </w:p>
    <w:p>
      <w:pPr>
        <w:spacing w:after="160" w:line="360"/>
        <w:ind w:firstLine="400"/>
        <w:jc w:val="both"/>
      </w:pPr>
      <w:r>
        <w:rPr>
          <w:rFonts w:ascii="Times New Roman" w:cs="Times New Roman" w:eastAsia="Times New Roman" w:hAnsi="Times New Roman"/>
          <w:color w:val="1A1A1A"/>
          <w:sz w:val="24"/>
          <w:szCs w:val="24"/>
        </w:rPr>
        <w:t xml:space="preserve">Based on this analysis, the paper offers the following recommendations. Teacher-education institutions, including Baikuntha College of Education, should consider establishing institution-level CRPs with an explicit, shared metadata-tagging protocol from inception, rather than allowing repositories to grow organically without structure. B.Ed. curricula should incorporate explicit training in learner cognitive profiling as a practical, assessable skill, situating it alongside existing coursework on educational psychology and pedagogy. Institutions should designate coordination responsibility for CRP quality maintenance and should build in structured time and recognition for teacher contribution, treating resource contribution as a legitimate component of professional practice rather than an unpaid extra. Where feasible, institutional CRPs should be designed to interoperate with national platforms such as DIKSHA, drawing on nationally curated content while adding locally adapted, cognitively tagged materials suited to the specific learner population served. Finally, future scholarly and field-based work should examine the practical implementation of such cycles across varied institutional contexts, given that the present paper's contribution is conceptual and model-building rather than empirical; systematic field studies would usefully test, refine, and extend the CRP-Customization Cycle proposed here. In sum, the disciplined integration of centralized resource pooling with cognitively customized deployment represents a concrete, implementable step toward the seminar's dual aspiration of reimagined teacher training and a Vikshit Bharat by 2047.</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Anderson, L. W., &amp; Krathwohl, D. R. (Eds.). (2001). A taxonomy for learning, teaching, and assessing: A revision of Bloom's taxonomy of educational objectives. Longman.</w:t>
      </w:r>
    </w:p>
    <w:p>
      <w:pPr>
        <w:spacing w:after="130" w:line="280"/>
        <w:ind w:left="480" w:hanging="480"/>
        <w:jc w:val="left"/>
      </w:pPr>
      <w:r>
        <w:rPr>
          <w:rFonts w:ascii="Times New Roman" w:cs="Times New Roman" w:eastAsia="Times New Roman" w:hAnsi="Times New Roman"/>
          <w:color w:val="1A1A1A"/>
          <w:sz w:val="22"/>
          <w:szCs w:val="22"/>
        </w:rPr>
        <w:t xml:space="preserve">Bloom, B. S. (Ed.). (1956). Taxonomy of educational objectives: The classification of educational goals, Handbook I: Cognitive domain. David McKay Company.</w:t>
      </w:r>
    </w:p>
    <w:p>
      <w:pPr>
        <w:spacing w:after="130" w:line="280"/>
        <w:ind w:left="480" w:hanging="480"/>
        <w:jc w:val="left"/>
      </w:pPr>
      <w:r>
        <w:rPr>
          <w:rFonts w:ascii="Times New Roman" w:cs="Times New Roman" w:eastAsia="Times New Roman" w:hAnsi="Times New Roman"/>
          <w:color w:val="1A1A1A"/>
          <w:sz w:val="22"/>
          <w:szCs w:val="22"/>
        </w:rPr>
        <w:t xml:space="preserve">Diksha. (n.d.). About DIKSHA. National Council of Educational Research and Training. https://diksha.gov.in</w:t>
      </w:r>
    </w:p>
    <w:p>
      <w:pPr>
        <w:spacing w:after="130" w:line="280"/>
        <w:ind w:left="480" w:hanging="480"/>
        <w:jc w:val="left"/>
      </w:pPr>
      <w:r>
        <w:rPr>
          <w:rFonts w:ascii="Times New Roman" w:cs="Times New Roman" w:eastAsia="Times New Roman" w:hAnsi="Times New Roman"/>
          <w:color w:val="1A1A1A"/>
          <w:sz w:val="22"/>
          <w:szCs w:val="22"/>
        </w:rPr>
        <w:t xml:space="preserve">Gardner, H. (1983). Frames of mind: The theory of multiple intelligences. Basic Books.</w:t>
      </w:r>
    </w:p>
    <w:p>
      <w:pPr>
        <w:spacing w:after="130" w:line="280"/>
        <w:ind w:left="480" w:hanging="480"/>
        <w:jc w:val="left"/>
      </w:pPr>
      <w:r>
        <w:rPr>
          <w:rFonts w:ascii="Times New Roman" w:cs="Times New Roman" w:eastAsia="Times New Roman" w:hAnsi="Times New Roman"/>
          <w:color w:val="1A1A1A"/>
          <w:sz w:val="22"/>
          <w:szCs w:val="22"/>
        </w:rPr>
        <w:t xml:space="preserve">Mishra, P., &amp; Koehler, M. J. (2006). Technological pedagogical content knowledge: A framework for teacher knowledge. Teachers College Record, 108(6), 1017–1054.</w:t>
      </w:r>
    </w:p>
    <w:p>
      <w:pPr>
        <w:spacing w:after="130" w:line="280"/>
        <w:ind w:left="480" w:hanging="480"/>
        <w:jc w:val="left"/>
      </w:pPr>
      <w:r>
        <w:rPr>
          <w:rFonts w:ascii="Times New Roman" w:cs="Times New Roman" w:eastAsia="Times New Roman" w:hAnsi="Times New Roman"/>
          <w:color w:val="1A1A1A"/>
          <w:sz w:val="22"/>
          <w:szCs w:val="22"/>
        </w:rPr>
        <w:t xml:space="preserve">Ministry of Education. (2020). National Education Policy 2020. Government of India. https://www.education.gov.in/nep</w:t>
      </w:r>
    </w:p>
    <w:p>
      <w:pPr>
        <w:spacing w:after="130" w:line="280"/>
        <w:ind w:left="480" w:hanging="480"/>
        <w:jc w:val="left"/>
      </w:pPr>
      <w:r>
        <w:rPr>
          <w:rFonts w:ascii="Times New Roman" w:cs="Times New Roman" w:eastAsia="Times New Roman" w:hAnsi="Times New Roman"/>
          <w:color w:val="1A1A1A"/>
          <w:sz w:val="22"/>
          <w:szCs w:val="22"/>
        </w:rPr>
        <w:t xml:space="preserve">Piaget, J. (1952). The origins of intelligence in children. International Universities Press.</w:t>
      </w:r>
    </w:p>
    <w:p>
      <w:pPr>
        <w:spacing w:after="130" w:line="280"/>
        <w:ind w:left="480" w:hanging="480"/>
        <w:jc w:val="left"/>
      </w:pPr>
      <w:r>
        <w:rPr>
          <w:rFonts w:ascii="Times New Roman" w:cs="Times New Roman" w:eastAsia="Times New Roman" w:hAnsi="Times New Roman"/>
          <w:color w:val="1A1A1A"/>
          <w:sz w:val="22"/>
          <w:szCs w:val="22"/>
        </w:rPr>
        <w:t xml:space="preserve">Tomlinson, C. A. (2001). How to differentiate instruction in mixed-ability classrooms (2nd ed.). Association for Supervision and Curriculum Development.</w:t>
      </w:r>
    </w:p>
    <w:p>
      <w:pPr>
        <w:spacing w:after="130" w:line="280"/>
        <w:ind w:left="480" w:hanging="480"/>
        <w:jc w:val="left"/>
      </w:pPr>
      <w:r>
        <w:rPr>
          <w:rFonts w:ascii="Times New Roman" w:cs="Times New Roman" w:eastAsia="Times New Roman" w:hAnsi="Times New Roman"/>
          <w:color w:val="1A1A1A"/>
          <w:sz w:val="22"/>
          <w:szCs w:val="22"/>
        </w:rPr>
        <w:t xml:space="preserve">Vygotsky, L. S. (1978). Mind in society: The development of higher psychological processes. Harvard University Press.</w:t>
      </w:r>
    </w:p>
    <w:p>
      <w:pPr>
        <w:spacing w:after="130" w:line="280"/>
        <w:ind w:left="480" w:hanging="480"/>
        <w:jc w:val="left"/>
      </w:pPr>
      <w:r>
        <w:rPr>
          <w:rFonts w:ascii="Times New Roman" w:cs="Times New Roman" w:eastAsia="Times New Roman" w:hAnsi="Times New Roman"/>
          <w:color w:val="1A1A1A"/>
          <w:sz w:val="22"/>
          <w:szCs w:val="22"/>
        </w:rPr>
        <w:t xml:space="preserve">Woolfolk, A. (2019). Educational psychology (14th ed.). Pearson.</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2026-08-26T17:10:16.038Z</dcterms:created>
  <dcterms:modified xsi:type="dcterms:W3CDTF">2026-08-26T17:10:16.038Z</dcterms:modified>
</cp:coreProperties>
</file>

<file path=docProps/custom.xml><?xml version="1.0" encoding="utf-8"?>
<Properties xmlns="http://schemas.openxmlformats.org/officeDocument/2006/custom-properties" xmlns:vt="http://schemas.openxmlformats.org/officeDocument/2006/docPropsVTypes"/>
</file>